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3BA" w:rsidRDefault="002F43BA" w:rsidP="00FA35BA">
      <w:pPr>
        <w:ind w:left="-709"/>
        <w:jc w:val="both"/>
        <w:rPr>
          <w:rFonts w:ascii="DIN Next LT Pro" w:hAnsi="DIN Next LT Pro" w:cs="DIN Next LT Pro"/>
          <w:b/>
          <w:bCs/>
        </w:rPr>
      </w:pPr>
      <w:r w:rsidRPr="004C4DC3">
        <w:rPr>
          <w:rFonts w:ascii="DIN Next LT Pro" w:hAnsi="DIN Next LT Pro" w:cs="DIN Next LT Pro"/>
          <w:b/>
          <w:bCs/>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490.5pt;height:195pt;visibility:visible">
            <v:imagedata r:id="rId5" o:title=""/>
          </v:shape>
        </w:pict>
      </w:r>
    </w:p>
    <w:p w:rsidR="002F43BA" w:rsidRDefault="002F43BA" w:rsidP="000264C0">
      <w:pPr>
        <w:jc w:val="both"/>
        <w:rPr>
          <w:rFonts w:ascii="DIN Next LT Pro" w:hAnsi="DIN Next LT Pro" w:cs="DIN Next LT Pro"/>
          <w:b/>
          <w:bCs/>
        </w:rPr>
      </w:pPr>
    </w:p>
    <w:p w:rsidR="002F43BA" w:rsidRDefault="002F43BA" w:rsidP="000264C0">
      <w:pPr>
        <w:jc w:val="both"/>
        <w:rPr>
          <w:rFonts w:ascii="DIN Next LT Pro" w:hAnsi="DIN Next LT Pro" w:cs="DIN Next LT Pro"/>
          <w:b/>
          <w:bCs/>
        </w:rPr>
      </w:pPr>
    </w:p>
    <w:p w:rsidR="002F43BA" w:rsidRDefault="002F43BA" w:rsidP="000264C0">
      <w:pPr>
        <w:jc w:val="both"/>
        <w:rPr>
          <w:rFonts w:ascii="DIN Next LT Pro" w:hAnsi="DIN Next LT Pro" w:cs="DIN Next LT Pro"/>
          <w:b/>
          <w:bCs/>
        </w:rPr>
      </w:pPr>
    </w:p>
    <w:p w:rsidR="002F43BA" w:rsidRPr="003705FF" w:rsidRDefault="002F43BA" w:rsidP="000264C0">
      <w:pPr>
        <w:jc w:val="both"/>
        <w:rPr>
          <w:rFonts w:ascii="DIN Next LT Pro" w:hAnsi="DIN Next LT Pro" w:cs="DIN Next LT Pro"/>
          <w:b/>
          <w:bCs/>
        </w:rPr>
      </w:pPr>
      <w:r w:rsidRPr="003705FF">
        <w:rPr>
          <w:rFonts w:ascii="DIN Next LT Pro" w:hAnsi="DIN Next LT Pro" w:cs="DIN Next LT Pro"/>
          <w:b/>
          <w:bCs/>
        </w:rPr>
        <w:t xml:space="preserve">Cursos presenciales para técnicos certificadores  sobre los programas  informáticos  de calificación energética de edificios existentes  </w:t>
      </w:r>
    </w:p>
    <w:p w:rsidR="002F43BA" w:rsidRPr="003705FF" w:rsidRDefault="002F43BA" w:rsidP="000264C0">
      <w:pPr>
        <w:jc w:val="both"/>
        <w:rPr>
          <w:rFonts w:ascii="DIN Next LT Pro" w:hAnsi="DIN Next LT Pro" w:cs="DIN Next LT Pro"/>
          <w:b/>
          <w:bCs/>
        </w:rPr>
      </w:pPr>
    </w:p>
    <w:p w:rsidR="002F43BA" w:rsidRPr="003705FF" w:rsidRDefault="002F43BA" w:rsidP="00EC2068">
      <w:pPr>
        <w:pBdr>
          <w:bottom w:val="single" w:sz="4" w:space="1" w:color="auto"/>
        </w:pBdr>
        <w:jc w:val="both"/>
        <w:rPr>
          <w:rFonts w:ascii="DIN Next LT Pro" w:hAnsi="DIN Next LT Pro" w:cs="DIN Next LT Pro"/>
          <w:b/>
          <w:bCs/>
        </w:rPr>
      </w:pPr>
      <w:r w:rsidRPr="003705FF">
        <w:rPr>
          <w:rFonts w:ascii="DIN Next LT Pro" w:hAnsi="DIN Next LT Pro" w:cs="DIN Next LT Pro"/>
          <w:b/>
          <w:bCs/>
        </w:rPr>
        <w:t xml:space="preserve">Introducción </w:t>
      </w:r>
    </w:p>
    <w:p w:rsidR="002F43BA" w:rsidRPr="003705FF" w:rsidRDefault="002F43BA" w:rsidP="00EC2068">
      <w:pPr>
        <w:jc w:val="both"/>
        <w:rPr>
          <w:rFonts w:ascii="DIN Next LT Pro" w:hAnsi="DIN Next LT Pro" w:cs="DIN Next LT Pro"/>
        </w:rPr>
      </w:pPr>
    </w:p>
    <w:p w:rsidR="002F43BA" w:rsidRPr="003705FF" w:rsidRDefault="002F43BA" w:rsidP="00EC2068">
      <w:pPr>
        <w:jc w:val="both"/>
        <w:rPr>
          <w:rFonts w:ascii="DIN Next LT Pro" w:hAnsi="DIN Next LT Pro" w:cs="DIN Next LT Pro"/>
          <w:lang w:val="es-ES_tradnl"/>
        </w:rPr>
      </w:pPr>
      <w:r w:rsidRPr="003705FF">
        <w:rPr>
          <w:rFonts w:ascii="DIN Next LT Pro" w:hAnsi="DIN Next LT Pro" w:cs="DIN Next LT Pro"/>
          <w:lang w:val="es-ES_tradnl"/>
        </w:rPr>
        <w:t xml:space="preserve">La Directiva 2010/31/UE, de 19 de mayo de 2010, relativa a la eficiencia energética de los edificios, que deroga la Directiva 2002/91/CE, obliga a expedir un certificado de eficiencia energética para los edificios o unidades de estos, que se construyan, vendan o alquilen. Actualmente esta Directiva está en proceso de transposición mediante un Real Decreto que regulará la certificación energética de edificios existentes. </w:t>
      </w:r>
    </w:p>
    <w:p w:rsidR="002F43BA" w:rsidRPr="003705FF" w:rsidRDefault="002F43BA" w:rsidP="00EC2068">
      <w:pPr>
        <w:jc w:val="both"/>
        <w:rPr>
          <w:rFonts w:ascii="DIN Next LT Pro" w:hAnsi="DIN Next LT Pro" w:cs="DIN Next LT Pro"/>
          <w:lang w:val="es-ES_tradnl"/>
        </w:rPr>
      </w:pPr>
    </w:p>
    <w:p w:rsidR="002F43BA" w:rsidRPr="003705FF" w:rsidRDefault="002F43BA" w:rsidP="00EC2068">
      <w:pPr>
        <w:jc w:val="both"/>
        <w:rPr>
          <w:rFonts w:ascii="DIN Next LT Pro" w:hAnsi="DIN Next LT Pro" w:cs="DIN Next LT Pro"/>
          <w:lang w:val="es-ES_tradnl"/>
        </w:rPr>
      </w:pPr>
      <w:r w:rsidRPr="003705FF">
        <w:rPr>
          <w:rFonts w:ascii="DIN Next LT Pro" w:hAnsi="DIN Next LT Pro" w:cs="DIN Next LT Pro"/>
          <w:lang w:val="es-ES_tradnl"/>
        </w:rPr>
        <w:t xml:space="preserve">Los Ministerio de Industria, Energía y Turismo y de Fomento, como responsables de esta transposición, han encomendando al Instituto para la Diversificación y Ahorro de la Energía (IDAE), poner a disposición del público programas informáticos de calificación  de eficiencia energética para edificios existentes, que sean de aplicación en todo el territorio nacional y desarrollar un plan de formación e información a los sectores afectados por la certificación de eficiencia energética de los edificios existentes.  </w:t>
      </w:r>
    </w:p>
    <w:p w:rsidR="002F43BA" w:rsidRPr="003705FF" w:rsidRDefault="002F43BA" w:rsidP="00EC2068">
      <w:pPr>
        <w:jc w:val="both"/>
        <w:rPr>
          <w:rFonts w:ascii="DIN Next LT Pro" w:hAnsi="DIN Next LT Pro" w:cs="DIN Next LT Pro"/>
          <w:lang w:val="es-ES_tradnl"/>
        </w:rPr>
      </w:pPr>
    </w:p>
    <w:p w:rsidR="002F43BA" w:rsidRDefault="002F43BA" w:rsidP="00EC2068">
      <w:pPr>
        <w:jc w:val="both"/>
        <w:rPr>
          <w:rFonts w:ascii="DIN Next LT Pro" w:hAnsi="DIN Next LT Pro" w:cs="DIN Next LT Pro"/>
          <w:lang w:val="es-ES_tradnl"/>
        </w:rPr>
      </w:pPr>
      <w:r w:rsidRPr="003705FF">
        <w:rPr>
          <w:rFonts w:ascii="DIN Next LT Pro" w:hAnsi="DIN Next LT Pro" w:cs="DIN Next LT Pro"/>
          <w:lang w:val="es-ES_tradnl"/>
        </w:rPr>
        <w:t>El IDAE está desarrollando un Plan de Formación en certificación energética de edificios existentes</w:t>
      </w:r>
      <w:r>
        <w:rPr>
          <w:rFonts w:ascii="DIN Next LT Pro" w:hAnsi="DIN Next LT Pro" w:cs="DIN Next LT Pro"/>
          <w:lang w:val="es-ES_tradnl"/>
        </w:rPr>
        <w:t>, que se está llevando a cabo mediante convenios de colaboración</w:t>
      </w:r>
      <w:r w:rsidRPr="003705FF">
        <w:rPr>
          <w:rFonts w:ascii="DIN Next LT Pro" w:hAnsi="DIN Next LT Pro" w:cs="DIN Next LT Pro"/>
          <w:lang w:val="es-ES_tradnl"/>
        </w:rPr>
        <w:t>,</w:t>
      </w:r>
      <w:r>
        <w:rPr>
          <w:rFonts w:ascii="DIN Next LT Pro" w:hAnsi="DIN Next LT Pro" w:cs="DIN Next LT Pro"/>
          <w:lang w:val="es-ES_tradnl"/>
        </w:rPr>
        <w:t xml:space="preserve"> y</w:t>
      </w:r>
      <w:bookmarkStart w:id="0" w:name="_GoBack"/>
      <w:bookmarkEnd w:id="0"/>
      <w:r w:rsidRPr="003705FF">
        <w:rPr>
          <w:rFonts w:ascii="DIN Next LT Pro" w:hAnsi="DIN Next LT Pro" w:cs="DIN Next LT Pro"/>
          <w:lang w:val="es-ES_tradnl"/>
        </w:rPr>
        <w:t xml:space="preserve"> que en una primera fase comprende la realización de cursos dirigidos a los técnicos certificadores, para adiéstralos en el manejo de estos programas informáticos CE3 y CE3X.  </w:t>
      </w:r>
    </w:p>
    <w:p w:rsidR="002F43BA" w:rsidRDefault="002F43BA" w:rsidP="00EC2068">
      <w:pPr>
        <w:jc w:val="both"/>
        <w:rPr>
          <w:rFonts w:ascii="DIN Next LT Pro" w:hAnsi="DIN Next LT Pro" w:cs="DIN Next LT Pro"/>
          <w:lang w:val="es-ES_tradnl"/>
        </w:rPr>
      </w:pPr>
    </w:p>
    <w:p w:rsidR="002F43BA" w:rsidRPr="003705FF" w:rsidRDefault="002F43BA" w:rsidP="00EC2068">
      <w:pPr>
        <w:jc w:val="both"/>
        <w:rPr>
          <w:rFonts w:ascii="DIN Next LT Pro" w:hAnsi="DIN Next LT Pro" w:cs="DIN Next LT Pro"/>
          <w:lang w:val="es-ES_tradnl"/>
        </w:rPr>
      </w:pPr>
      <w:r w:rsidRPr="003705FF">
        <w:rPr>
          <w:rFonts w:ascii="DIN Next LT Pro" w:hAnsi="DIN Next LT Pro" w:cs="DIN Next LT Pro"/>
          <w:lang w:val="es-ES_tradnl"/>
        </w:rPr>
        <w:t xml:space="preserve">Los cursos están organizados en colaboración con las Agencias Regionales de la Energía, Consejo Superior de los Colegios de Arquitectos, Consejo General de la Arquitectura Técnica, Consejo General de Colegios Oficiales de Ingenieros Industriales y el Consejo General de Colegios de Ingenieros Técnicos Industriales.  </w:t>
      </w:r>
    </w:p>
    <w:p w:rsidR="002F43BA" w:rsidRPr="003705FF" w:rsidRDefault="002F43BA" w:rsidP="00EC2068">
      <w:pPr>
        <w:jc w:val="both"/>
        <w:rPr>
          <w:rFonts w:ascii="DIN Next LT Pro" w:hAnsi="DIN Next LT Pro" w:cs="DIN Next LT Pro"/>
        </w:rPr>
      </w:pPr>
    </w:p>
    <w:p w:rsidR="002F43BA" w:rsidRPr="003705FF" w:rsidRDefault="002F43BA" w:rsidP="000264C0">
      <w:pPr>
        <w:jc w:val="both"/>
        <w:rPr>
          <w:rFonts w:ascii="DIN Next LT Pro" w:hAnsi="DIN Next LT Pro" w:cs="DIN Next LT Pro"/>
          <w:b/>
          <w:bCs/>
        </w:rPr>
      </w:pPr>
    </w:p>
    <w:p w:rsidR="002F43BA" w:rsidRPr="003705FF" w:rsidRDefault="002F43BA" w:rsidP="000264C0">
      <w:pPr>
        <w:pBdr>
          <w:bottom w:val="single" w:sz="4" w:space="1" w:color="auto"/>
        </w:pBdr>
        <w:jc w:val="both"/>
        <w:rPr>
          <w:rFonts w:ascii="DIN Next LT Pro" w:hAnsi="DIN Next LT Pro" w:cs="DIN Next LT Pro"/>
          <w:b/>
          <w:bCs/>
        </w:rPr>
      </w:pPr>
      <w:r w:rsidRPr="003705FF">
        <w:rPr>
          <w:rFonts w:ascii="DIN Next LT Pro" w:hAnsi="DIN Next LT Pro" w:cs="DIN Next LT Pro"/>
          <w:b/>
          <w:bCs/>
        </w:rPr>
        <w:t>Objetivo</w:t>
      </w:r>
    </w:p>
    <w:p w:rsidR="002F43BA" w:rsidRPr="003705FF" w:rsidRDefault="002F43BA" w:rsidP="000264C0">
      <w:pPr>
        <w:jc w:val="both"/>
        <w:rPr>
          <w:rFonts w:ascii="DIN Next LT Pro" w:hAnsi="DIN Next LT Pro" w:cs="DIN Next LT Pro"/>
        </w:rPr>
      </w:pPr>
    </w:p>
    <w:p w:rsidR="002F43BA" w:rsidRPr="003705FF" w:rsidRDefault="002F43BA" w:rsidP="000264C0">
      <w:pPr>
        <w:jc w:val="both"/>
        <w:rPr>
          <w:rFonts w:ascii="DIN Next LT Pro" w:hAnsi="DIN Next LT Pro" w:cs="DIN Next LT Pro"/>
        </w:rPr>
      </w:pPr>
      <w:r w:rsidRPr="003705FF">
        <w:rPr>
          <w:rFonts w:ascii="DIN Next LT Pro" w:hAnsi="DIN Next LT Pro" w:cs="DIN Next LT Pro"/>
          <w:lang w:val="es-ES_tradnl"/>
        </w:rPr>
        <w:t xml:space="preserve">El objetivo del curso es formar a técnicos en la utilización de los programas informáticos reconocidos de calificación energética de edificios existentes.  </w:t>
      </w:r>
    </w:p>
    <w:p w:rsidR="002F43BA" w:rsidRDefault="002F43BA" w:rsidP="000264C0">
      <w:pPr>
        <w:jc w:val="both"/>
        <w:rPr>
          <w:rFonts w:ascii="DIN Next LT Pro" w:hAnsi="DIN Next LT Pro" w:cs="DIN Next LT Pro"/>
          <w:lang w:val="es-ES_tradnl"/>
        </w:rPr>
      </w:pPr>
    </w:p>
    <w:p w:rsidR="002F43BA" w:rsidRDefault="002F43BA" w:rsidP="000264C0">
      <w:pPr>
        <w:jc w:val="both"/>
        <w:rPr>
          <w:rFonts w:ascii="DIN Next LT Pro" w:hAnsi="DIN Next LT Pro" w:cs="DIN Next LT Pro"/>
          <w:lang w:val="es-ES_tradnl"/>
        </w:rPr>
      </w:pPr>
    </w:p>
    <w:p w:rsidR="002F43BA" w:rsidRPr="003705FF" w:rsidRDefault="002F43BA" w:rsidP="000264C0">
      <w:pPr>
        <w:jc w:val="both"/>
        <w:rPr>
          <w:rFonts w:ascii="DIN Next LT Pro" w:hAnsi="DIN Next LT Pro" w:cs="DIN Next LT Pro"/>
          <w:lang w:val="es-ES_tradnl"/>
        </w:rPr>
      </w:pPr>
    </w:p>
    <w:p w:rsidR="002F43BA" w:rsidRPr="003705FF" w:rsidRDefault="002F43BA" w:rsidP="000264C0">
      <w:pPr>
        <w:pBdr>
          <w:bottom w:val="single" w:sz="4" w:space="1" w:color="auto"/>
        </w:pBdr>
        <w:jc w:val="both"/>
        <w:rPr>
          <w:rFonts w:ascii="DIN Next LT Pro" w:hAnsi="DIN Next LT Pro" w:cs="DIN Next LT Pro"/>
          <w:b/>
          <w:bCs/>
        </w:rPr>
      </w:pPr>
      <w:r w:rsidRPr="003705FF">
        <w:rPr>
          <w:rFonts w:ascii="DIN Next LT Pro" w:hAnsi="DIN Next LT Pro" w:cs="DIN Next LT Pro"/>
          <w:b/>
          <w:bCs/>
        </w:rPr>
        <w:t>A quién va dirigido</w:t>
      </w:r>
    </w:p>
    <w:p w:rsidR="002F43BA" w:rsidRPr="003705FF" w:rsidRDefault="002F43BA" w:rsidP="000264C0">
      <w:pPr>
        <w:jc w:val="both"/>
        <w:rPr>
          <w:rFonts w:ascii="DIN Next LT Pro" w:hAnsi="DIN Next LT Pro" w:cs="DIN Next LT Pro"/>
          <w:b/>
          <w:bCs/>
        </w:rPr>
      </w:pPr>
    </w:p>
    <w:p w:rsidR="002F43BA" w:rsidRDefault="002F43BA" w:rsidP="004160EC">
      <w:pPr>
        <w:jc w:val="both"/>
        <w:rPr>
          <w:rFonts w:ascii="DIN Next LT Pro" w:hAnsi="DIN Next LT Pro" w:cs="DIN Next LT Pro"/>
          <w:lang w:val="es-ES_tradnl"/>
        </w:rPr>
      </w:pPr>
      <w:r w:rsidRPr="003705FF">
        <w:rPr>
          <w:rFonts w:ascii="DIN Next LT Pro" w:hAnsi="DIN Next LT Pro" w:cs="DIN Next LT Pro"/>
          <w:lang w:val="es-ES_tradnl"/>
        </w:rPr>
        <w:t xml:space="preserve">El curso está dirigido a técnicos con la titulación académica y profesional habilitante para realizar la certificación energética de edificios existentes.   </w:t>
      </w:r>
    </w:p>
    <w:p w:rsidR="002F43BA" w:rsidRPr="004160EC" w:rsidRDefault="002F43BA" w:rsidP="004160EC">
      <w:pPr>
        <w:jc w:val="both"/>
        <w:rPr>
          <w:rFonts w:ascii="DIN Next LT Pro" w:hAnsi="DIN Next LT Pro" w:cs="DIN Next LT Pro"/>
        </w:rPr>
      </w:pPr>
    </w:p>
    <w:p w:rsidR="002F43BA" w:rsidRPr="003705FF" w:rsidRDefault="002F43BA" w:rsidP="00EC2068">
      <w:pPr>
        <w:pBdr>
          <w:bottom w:val="single" w:sz="4" w:space="1" w:color="auto"/>
        </w:pBdr>
        <w:jc w:val="both"/>
        <w:rPr>
          <w:rFonts w:ascii="DIN Next LT Pro" w:hAnsi="DIN Next LT Pro" w:cs="DIN Next LT Pro"/>
          <w:b/>
          <w:bCs/>
        </w:rPr>
      </w:pPr>
      <w:r w:rsidRPr="003705FF">
        <w:rPr>
          <w:rFonts w:ascii="DIN Next LT Pro" w:hAnsi="DIN Next LT Pro" w:cs="DIN Next LT Pro"/>
          <w:b/>
          <w:bCs/>
        </w:rPr>
        <w:t>Programas informáticos de calificación energética de edificios existentes</w:t>
      </w:r>
    </w:p>
    <w:p w:rsidR="002F43BA" w:rsidRPr="003705FF" w:rsidRDefault="002F43BA" w:rsidP="00FF4065">
      <w:pPr>
        <w:jc w:val="both"/>
        <w:rPr>
          <w:rFonts w:ascii="DIN Next LT Pro" w:hAnsi="DIN Next LT Pro" w:cs="DIN Next LT Pro"/>
          <w:lang w:val="es-ES_tradnl"/>
        </w:rPr>
      </w:pPr>
    </w:p>
    <w:p w:rsidR="002F43BA" w:rsidRPr="003705FF" w:rsidRDefault="002F43BA" w:rsidP="00FF4065">
      <w:pPr>
        <w:jc w:val="both"/>
        <w:rPr>
          <w:rFonts w:ascii="DIN Next LT Pro" w:hAnsi="DIN Next LT Pro" w:cs="DIN Next LT Pro"/>
          <w:lang w:val="es-ES_tradnl"/>
        </w:rPr>
      </w:pPr>
    </w:p>
    <w:p w:rsidR="002F43BA" w:rsidRPr="003705FF" w:rsidRDefault="002F43BA" w:rsidP="00FF4065">
      <w:pPr>
        <w:jc w:val="both"/>
        <w:rPr>
          <w:rFonts w:ascii="DIN Next LT Pro" w:hAnsi="DIN Next LT Pro" w:cs="DIN Next LT Pro"/>
          <w:lang w:val="es-ES_tradnl"/>
        </w:rPr>
      </w:pPr>
      <w:r w:rsidRPr="003705FF">
        <w:rPr>
          <w:rFonts w:ascii="DIN Next LT Pro" w:hAnsi="DIN Next LT Pro" w:cs="DIN Next LT Pro"/>
        </w:rPr>
        <w:t>Los programas informáticos que actualmente están reconocidos para la calificación energética de edificios existentes son CE3 y CE3X.</w:t>
      </w:r>
    </w:p>
    <w:p w:rsidR="002F43BA" w:rsidRPr="003705FF" w:rsidRDefault="002F43BA" w:rsidP="00FF4065">
      <w:pPr>
        <w:jc w:val="both"/>
        <w:rPr>
          <w:rFonts w:ascii="DIN Next LT Pro" w:hAnsi="DIN Next LT Pro" w:cs="DIN Next LT Pro"/>
          <w:lang w:val="es-ES_tradnl"/>
        </w:rPr>
      </w:pPr>
    </w:p>
    <w:p w:rsidR="002F43BA" w:rsidRDefault="002F43BA" w:rsidP="00FF4065">
      <w:pPr>
        <w:jc w:val="both"/>
        <w:rPr>
          <w:rFonts w:ascii="DIN Next LT Pro" w:hAnsi="DIN Next LT Pro" w:cs="DIN Next LT Pro"/>
          <w:color w:val="0070C0"/>
        </w:rPr>
      </w:pPr>
      <w:r w:rsidRPr="003705FF">
        <w:rPr>
          <w:rFonts w:ascii="DIN Next LT Pro" w:hAnsi="DIN Next LT Pro" w:cs="DIN Next LT Pro"/>
        </w:rPr>
        <w:t xml:space="preserve">Este software y sus manuales de uso y fundamentos técnicos pueden ser descargados gratuitamente en el </w:t>
      </w:r>
      <w:r w:rsidRPr="003705FF">
        <w:rPr>
          <w:rFonts w:ascii="DIN Next LT Pro" w:hAnsi="DIN Next LT Pro" w:cs="DIN Next LT Pro"/>
          <w:color w:val="0070C0"/>
          <w:u w:val="single"/>
        </w:rPr>
        <w:t>Registro general de documentos reconocidos para la certificación energética del MINETUR</w:t>
      </w:r>
      <w:r w:rsidRPr="003705FF">
        <w:rPr>
          <w:rFonts w:ascii="DIN Next LT Pro" w:hAnsi="DIN Next LT Pro" w:cs="DIN Next LT Pro"/>
          <w:color w:val="0070C0"/>
        </w:rPr>
        <w:t>.</w:t>
      </w:r>
    </w:p>
    <w:p w:rsidR="002F43BA" w:rsidRPr="003705FF" w:rsidRDefault="002F43BA" w:rsidP="00FF4065">
      <w:pPr>
        <w:jc w:val="both"/>
        <w:rPr>
          <w:rFonts w:ascii="DIN Next LT Pro" w:hAnsi="DIN Next LT Pro" w:cs="DIN Next LT Pro"/>
        </w:rPr>
      </w:pPr>
    </w:p>
    <w:p w:rsidR="002F43BA" w:rsidRPr="003705FF" w:rsidRDefault="002F43BA" w:rsidP="000264C0">
      <w:pPr>
        <w:jc w:val="both"/>
        <w:rPr>
          <w:rFonts w:ascii="DIN Next LT Pro" w:hAnsi="DIN Next LT Pro" w:cs="DIN Next LT Pro"/>
          <w:b/>
          <w:bCs/>
        </w:rPr>
      </w:pPr>
      <w:hyperlink r:id="rId6" w:history="1">
        <w:r w:rsidRPr="00FA35BA">
          <w:rPr>
            <w:color w:val="0000FF"/>
            <w:u w:val="single"/>
          </w:rPr>
          <w:t>http://www.minetur.gob.es/energia/desarrollo/EficienciaEnergetica/CertificacionEnergetica/DocumentosReconocidos/Paginas/documentosreconocidos.aspx</w:t>
        </w:r>
      </w:hyperlink>
    </w:p>
    <w:p w:rsidR="002F43BA" w:rsidRPr="003705FF" w:rsidRDefault="002F43BA" w:rsidP="003705FF">
      <w:pPr>
        <w:jc w:val="both"/>
        <w:rPr>
          <w:rFonts w:ascii="DIN Next LT Pro" w:hAnsi="DIN Next LT Pro" w:cs="DIN Next LT Pro"/>
        </w:rPr>
      </w:pPr>
    </w:p>
    <w:p w:rsidR="002F43BA" w:rsidRPr="003705FF" w:rsidRDefault="002F43BA" w:rsidP="000264C0">
      <w:pPr>
        <w:pBdr>
          <w:bottom w:val="single" w:sz="8" w:space="1" w:color="auto"/>
        </w:pBdr>
        <w:jc w:val="both"/>
        <w:rPr>
          <w:rFonts w:ascii="DIN Next LT Pro" w:hAnsi="DIN Next LT Pro" w:cs="DIN Next LT Pro"/>
          <w:b/>
          <w:bCs/>
        </w:rPr>
      </w:pPr>
      <w:r w:rsidRPr="003705FF">
        <w:rPr>
          <w:rFonts w:ascii="DIN Next LT Pro" w:hAnsi="DIN Next LT Pro" w:cs="DIN Next LT Pro"/>
          <w:b/>
          <w:bCs/>
        </w:rPr>
        <w:t>Duración del  curso y número de alumnos</w:t>
      </w:r>
    </w:p>
    <w:p w:rsidR="002F43BA" w:rsidRPr="003705FF" w:rsidRDefault="002F43BA" w:rsidP="000264C0">
      <w:pPr>
        <w:jc w:val="both"/>
        <w:rPr>
          <w:rFonts w:ascii="DIN Next LT Pro" w:hAnsi="DIN Next LT Pro" w:cs="DIN Next LT Pro"/>
        </w:rPr>
      </w:pPr>
    </w:p>
    <w:p w:rsidR="002F43BA" w:rsidRPr="003705FF" w:rsidRDefault="002F43BA" w:rsidP="000264C0">
      <w:pPr>
        <w:numPr>
          <w:ilvl w:val="0"/>
          <w:numId w:val="1"/>
        </w:numPr>
        <w:ind w:left="360"/>
        <w:jc w:val="both"/>
        <w:rPr>
          <w:rFonts w:ascii="DIN Next LT Pro" w:hAnsi="DIN Next LT Pro" w:cs="DIN Next LT Pro"/>
        </w:rPr>
      </w:pPr>
      <w:r w:rsidRPr="003705FF">
        <w:rPr>
          <w:rFonts w:ascii="DIN Next LT Pro" w:hAnsi="DIN Next LT Pro" w:cs="DIN Next LT Pro"/>
        </w:rPr>
        <w:t>Duración curso: 12 horas</w:t>
      </w:r>
    </w:p>
    <w:p w:rsidR="002F43BA" w:rsidRPr="003705FF" w:rsidRDefault="002F43BA" w:rsidP="000264C0">
      <w:pPr>
        <w:jc w:val="both"/>
        <w:rPr>
          <w:rFonts w:ascii="DIN Next LT Pro" w:hAnsi="DIN Next LT Pro" w:cs="DIN Next LT Pro"/>
        </w:rPr>
      </w:pPr>
    </w:p>
    <w:p w:rsidR="002F43BA" w:rsidRPr="003705FF" w:rsidRDefault="002F43BA" w:rsidP="00EC2068">
      <w:pPr>
        <w:pStyle w:val="ListParagraph"/>
        <w:numPr>
          <w:ilvl w:val="0"/>
          <w:numId w:val="3"/>
        </w:numPr>
        <w:jc w:val="both"/>
        <w:rPr>
          <w:rFonts w:ascii="DIN Next LT Pro" w:hAnsi="DIN Next LT Pro" w:cs="DIN Next LT Pro"/>
        </w:rPr>
      </w:pPr>
      <w:r w:rsidRPr="003705FF">
        <w:rPr>
          <w:rFonts w:ascii="DIN Next LT Pro" w:hAnsi="DIN Next LT Pro" w:cs="DIN Next LT Pro"/>
        </w:rPr>
        <w:t xml:space="preserve">Número máximo de alumnos por curso: 20 </w:t>
      </w:r>
    </w:p>
    <w:p w:rsidR="002F43BA" w:rsidRPr="003705FF" w:rsidRDefault="002F43BA" w:rsidP="00EC2068">
      <w:pPr>
        <w:jc w:val="both"/>
        <w:rPr>
          <w:rFonts w:ascii="DIN Next LT Pro" w:hAnsi="DIN Next LT Pro" w:cs="DIN Next LT Pro"/>
        </w:rPr>
      </w:pPr>
      <w:r w:rsidRPr="003705FF">
        <w:rPr>
          <w:rFonts w:ascii="DIN Next LT Pro" w:hAnsi="DIN Next LT Pro" w:cs="DIN Next LT Pro"/>
        </w:rPr>
        <w:t>(Cada alumno deberá aportar su propio ordenador portátil con las características técnicas requeridas</w:t>
      </w:r>
      <w:r>
        <w:rPr>
          <w:rFonts w:ascii="DIN Next LT Pro" w:hAnsi="DIN Next LT Pro" w:cs="DIN Next LT Pro"/>
        </w:rPr>
        <w:t xml:space="preserve"> en los manuales de usuario de los programas</w:t>
      </w:r>
      <w:r w:rsidRPr="003705FF">
        <w:rPr>
          <w:rFonts w:ascii="DIN Next LT Pro" w:hAnsi="DIN Next LT Pro" w:cs="DIN Next LT Pro"/>
        </w:rPr>
        <w:t>).</w:t>
      </w:r>
    </w:p>
    <w:p w:rsidR="002F43BA" w:rsidRPr="003705FF" w:rsidRDefault="002F43BA" w:rsidP="000264C0">
      <w:pPr>
        <w:jc w:val="both"/>
        <w:rPr>
          <w:rFonts w:ascii="DIN Next LT Pro" w:hAnsi="DIN Next LT Pro" w:cs="DIN Next LT Pro"/>
        </w:rPr>
      </w:pPr>
    </w:p>
    <w:p w:rsidR="002F43BA" w:rsidRPr="003705FF" w:rsidRDefault="002F43BA" w:rsidP="000264C0">
      <w:pPr>
        <w:pBdr>
          <w:bottom w:val="single" w:sz="4" w:space="1" w:color="auto"/>
        </w:pBdr>
        <w:jc w:val="both"/>
        <w:rPr>
          <w:rFonts w:ascii="DIN Next LT Pro" w:hAnsi="DIN Next LT Pro" w:cs="DIN Next LT Pro"/>
          <w:b/>
          <w:bCs/>
        </w:rPr>
      </w:pPr>
      <w:r w:rsidRPr="003705FF">
        <w:rPr>
          <w:rFonts w:ascii="DIN Next LT Pro" w:hAnsi="DIN Next LT Pro" w:cs="DIN Next LT Pro"/>
          <w:b/>
          <w:bCs/>
        </w:rPr>
        <w:t>Programa</w:t>
      </w:r>
    </w:p>
    <w:p w:rsidR="002F43BA" w:rsidRPr="003705FF" w:rsidRDefault="002F43BA" w:rsidP="000264C0">
      <w:pPr>
        <w:jc w:val="both"/>
        <w:rPr>
          <w:rFonts w:ascii="DIN Next LT Pro" w:hAnsi="DIN Next LT Pro" w:cs="DIN Next LT Pro"/>
          <w:lang w:val="es-ES_tradnl"/>
        </w:rPr>
      </w:pPr>
    </w:p>
    <w:p w:rsidR="002F43BA" w:rsidRPr="003705FF" w:rsidRDefault="002F43BA" w:rsidP="000264C0">
      <w:pPr>
        <w:jc w:val="both"/>
        <w:rPr>
          <w:rFonts w:ascii="DIN Next LT Pro" w:hAnsi="DIN Next LT Pro" w:cs="DIN Next LT Pro"/>
          <w:lang w:val="es-ES_tradnl"/>
        </w:rPr>
      </w:pPr>
      <w:r>
        <w:rPr>
          <w:rFonts w:ascii="DIN Next LT Pro" w:hAnsi="DIN Next LT Pro" w:cs="DIN Next LT Pro"/>
          <w:lang w:val="es-ES_tradnl"/>
        </w:rPr>
        <w:t>Una estimación del programa a seguir por los cursos sería el siguiente:</w:t>
      </w:r>
    </w:p>
    <w:p w:rsidR="002F43BA" w:rsidRPr="003705FF" w:rsidRDefault="002F43BA" w:rsidP="000264C0">
      <w:pPr>
        <w:jc w:val="both"/>
        <w:rPr>
          <w:rFonts w:ascii="DIN Next LT Pro" w:hAnsi="DIN Next LT Pro" w:cs="DIN Next LT Pro"/>
        </w:rPr>
      </w:pPr>
    </w:p>
    <w:p w:rsidR="002F43BA" w:rsidRPr="00EE121C" w:rsidRDefault="002F43BA" w:rsidP="000264C0">
      <w:pPr>
        <w:jc w:val="both"/>
        <w:rPr>
          <w:rFonts w:ascii="DIN Next LT Pro" w:hAnsi="DIN Next LT Pro" w:cs="DIN Next LT Pro"/>
        </w:rPr>
      </w:pPr>
    </w:p>
    <w:p w:rsidR="002F43BA" w:rsidRDefault="002F43BA">
      <w:pPr>
        <w:spacing w:after="200" w:line="276" w:lineRule="auto"/>
        <w:rPr>
          <w:rFonts w:ascii="DIN Next LT Pro" w:hAnsi="DIN Next LT Pro" w:cs="DIN Next LT Pro"/>
          <w:lang w:val="es-ES_tradnl"/>
        </w:rPr>
      </w:pPr>
      <w:r>
        <w:rPr>
          <w:rFonts w:ascii="DIN Next LT Pro" w:hAnsi="DIN Next LT Pro" w:cs="DIN Next LT Pro"/>
          <w:lang w:val="es-ES_tradnl"/>
        </w:rPr>
        <w:br w:type="page"/>
      </w:r>
    </w:p>
    <w:p w:rsidR="002F43BA" w:rsidRPr="00FA35BA" w:rsidRDefault="002F43BA" w:rsidP="00FA35BA">
      <w:pPr>
        <w:spacing w:after="200" w:line="276" w:lineRule="auto"/>
        <w:jc w:val="both"/>
        <w:rPr>
          <w:rFonts w:ascii="DIN Next LT Pro" w:hAnsi="DIN Next LT Pro" w:cs="DIN Next LT Pro"/>
          <w:b/>
          <w:bCs/>
          <w:sz w:val="28"/>
          <w:szCs w:val="28"/>
        </w:rPr>
      </w:pPr>
      <w:r w:rsidRPr="00FA35BA">
        <w:rPr>
          <w:rFonts w:ascii="DIN Next LT Pro" w:hAnsi="DIN Next LT Pro" w:cs="DIN Next LT Pro"/>
          <w:b/>
          <w:bCs/>
          <w:sz w:val="28"/>
          <w:szCs w:val="28"/>
        </w:rPr>
        <w:t>Programa</w:t>
      </w:r>
    </w:p>
    <w:tbl>
      <w:tblPr>
        <w:tblW w:w="5000" w:type="pct"/>
        <w:tblInd w:w="-68" w:type="dxa"/>
        <w:tblCellMar>
          <w:left w:w="70" w:type="dxa"/>
          <w:right w:w="70" w:type="dxa"/>
        </w:tblCellMar>
        <w:tblLook w:val="00A0"/>
      </w:tblPr>
      <w:tblGrid>
        <w:gridCol w:w="1351"/>
        <w:gridCol w:w="709"/>
        <w:gridCol w:w="1227"/>
        <w:gridCol w:w="1202"/>
        <w:gridCol w:w="1202"/>
        <w:gridCol w:w="1153"/>
        <w:gridCol w:w="1149"/>
        <w:gridCol w:w="1155"/>
      </w:tblGrid>
      <w:tr w:rsidR="002F43BA" w:rsidRPr="004C4DC3">
        <w:trPr>
          <w:trHeight w:val="300"/>
        </w:trPr>
        <w:tc>
          <w:tcPr>
            <w:tcW w:w="1135" w:type="pct"/>
            <w:gridSpan w:val="2"/>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MARCO NORMATIVO</w:t>
            </w:r>
          </w:p>
        </w:tc>
        <w:tc>
          <w:tcPr>
            <w:tcW w:w="667" w:type="pct"/>
            <w:tcBorders>
              <w:top w:val="nil"/>
              <w:left w:val="nil"/>
              <w:bottom w:val="nil"/>
              <w:right w:val="nil"/>
            </w:tcBorders>
            <w:shd w:val="clear" w:color="000000" w:fill="BFBFBF"/>
            <w:noWrap/>
            <w:vAlign w:val="center"/>
          </w:tcPr>
          <w:p w:rsidR="002F43BA" w:rsidRPr="00FA35BA" w:rsidRDefault="002F43BA" w:rsidP="00FA35BA">
            <w:pPr>
              <w:jc w:val="center"/>
              <w:rPr>
                <w:color w:val="000000"/>
                <w:lang w:eastAsia="es-ES"/>
              </w:rPr>
            </w:pPr>
            <w:r w:rsidRPr="00FA35BA">
              <w:rPr>
                <w:color w:val="000000"/>
                <w:lang w:eastAsia="es-ES"/>
              </w:rPr>
              <w:t> </w:t>
            </w:r>
          </w:p>
        </w:tc>
        <w:tc>
          <w:tcPr>
            <w:tcW w:w="656" w:type="pct"/>
            <w:tcBorders>
              <w:top w:val="nil"/>
              <w:left w:val="nil"/>
              <w:bottom w:val="nil"/>
              <w:right w:val="nil"/>
            </w:tcBorders>
            <w:shd w:val="clear" w:color="000000" w:fill="BFBFBF"/>
            <w:noWrap/>
            <w:vAlign w:val="center"/>
          </w:tcPr>
          <w:p w:rsidR="002F43BA" w:rsidRPr="00FA35BA" w:rsidRDefault="002F43BA" w:rsidP="00FA35BA">
            <w:pPr>
              <w:jc w:val="center"/>
              <w:rPr>
                <w:color w:val="000000"/>
                <w:lang w:eastAsia="es-ES"/>
              </w:rPr>
            </w:pPr>
            <w:r w:rsidRPr="00FA35BA">
              <w:rPr>
                <w:color w:val="000000"/>
                <w:lang w:eastAsia="es-ES"/>
              </w:rPr>
              <w:t> </w:t>
            </w:r>
          </w:p>
        </w:tc>
        <w:tc>
          <w:tcPr>
            <w:tcW w:w="656" w:type="pct"/>
            <w:tcBorders>
              <w:top w:val="nil"/>
              <w:left w:val="nil"/>
              <w:bottom w:val="nil"/>
              <w:right w:val="nil"/>
            </w:tcBorders>
            <w:shd w:val="clear" w:color="000000" w:fill="BFBFBF"/>
            <w:noWrap/>
            <w:vAlign w:val="center"/>
          </w:tcPr>
          <w:p w:rsidR="002F43BA" w:rsidRPr="00FA35BA" w:rsidRDefault="002F43BA" w:rsidP="00FA35BA">
            <w:pPr>
              <w:jc w:val="center"/>
              <w:rPr>
                <w:color w:val="000000"/>
                <w:lang w:eastAsia="es-ES"/>
              </w:rPr>
            </w:pPr>
            <w:r w:rsidRPr="00FA35BA">
              <w:rPr>
                <w:color w:val="000000"/>
                <w:lang w:eastAsia="es-ES"/>
              </w:rPr>
              <w:t> </w:t>
            </w:r>
          </w:p>
        </w:tc>
        <w:tc>
          <w:tcPr>
            <w:tcW w:w="629" w:type="pct"/>
            <w:tcBorders>
              <w:top w:val="nil"/>
              <w:left w:val="nil"/>
              <w:bottom w:val="nil"/>
              <w:right w:val="nil"/>
            </w:tcBorders>
            <w:shd w:val="clear" w:color="000000" w:fill="BFBFBF"/>
            <w:noWrap/>
            <w:vAlign w:val="center"/>
          </w:tcPr>
          <w:p w:rsidR="002F43BA" w:rsidRPr="00FA35BA" w:rsidRDefault="002F43BA" w:rsidP="00FA35BA">
            <w:pPr>
              <w:jc w:val="center"/>
              <w:rPr>
                <w:color w:val="000000"/>
                <w:lang w:eastAsia="es-ES"/>
              </w:rPr>
            </w:pPr>
            <w:r w:rsidRPr="00FA35BA">
              <w:rPr>
                <w:color w:val="000000"/>
                <w:lang w:eastAsia="es-ES"/>
              </w:rPr>
              <w:t> </w:t>
            </w:r>
          </w:p>
        </w:tc>
        <w:tc>
          <w:tcPr>
            <w:tcW w:w="627" w:type="pct"/>
            <w:tcBorders>
              <w:top w:val="nil"/>
              <w:left w:val="nil"/>
              <w:bottom w:val="nil"/>
              <w:right w:val="nil"/>
            </w:tcBorders>
            <w:shd w:val="clear" w:color="000000" w:fill="BFBFBF"/>
            <w:noWrap/>
            <w:vAlign w:val="center"/>
          </w:tcPr>
          <w:p w:rsidR="002F43BA" w:rsidRPr="00FA35BA" w:rsidRDefault="002F43BA" w:rsidP="00FA35BA">
            <w:pPr>
              <w:jc w:val="center"/>
              <w:rPr>
                <w:color w:val="000000"/>
                <w:lang w:eastAsia="es-ES"/>
              </w:rPr>
            </w:pPr>
            <w:r w:rsidRPr="00FA35BA">
              <w:rPr>
                <w:color w:val="000000"/>
                <w:lang w:eastAsia="es-ES"/>
              </w:rPr>
              <w:t> </w:t>
            </w:r>
          </w:p>
        </w:tc>
        <w:tc>
          <w:tcPr>
            <w:tcW w:w="629" w:type="pct"/>
            <w:tcBorders>
              <w:top w:val="nil"/>
              <w:left w:val="nil"/>
              <w:bottom w:val="nil"/>
              <w:right w:val="nil"/>
            </w:tcBorders>
            <w:shd w:val="clear" w:color="000000" w:fill="BFBFBF"/>
            <w:noWrap/>
            <w:vAlign w:val="center"/>
          </w:tcPr>
          <w:p w:rsidR="002F43BA" w:rsidRPr="00FA35BA" w:rsidRDefault="002F43BA" w:rsidP="00FA35BA">
            <w:pPr>
              <w:jc w:val="center"/>
              <w:rPr>
                <w:color w:val="000000"/>
                <w:lang w:eastAsia="es-ES"/>
              </w:rPr>
            </w:pPr>
            <w:r w:rsidRPr="00FA35BA">
              <w:rPr>
                <w:color w:val="000000"/>
                <w:lang w:eastAsia="es-ES"/>
              </w:rPr>
              <w:t> </w:t>
            </w: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2364" w:type="pct"/>
            <w:gridSpan w:val="4"/>
            <w:tcBorders>
              <w:top w:val="nil"/>
              <w:left w:val="nil"/>
              <w:bottom w:val="nil"/>
              <w:right w:val="nil"/>
            </w:tcBorders>
            <w:noWrap/>
            <w:vAlign w:val="center"/>
          </w:tcPr>
          <w:p w:rsidR="002F43BA" w:rsidRPr="00FA35BA" w:rsidRDefault="002F43BA" w:rsidP="00FA35BA">
            <w:pPr>
              <w:rPr>
                <w:color w:val="000000"/>
                <w:lang w:eastAsia="es-ES"/>
              </w:rPr>
            </w:pPr>
            <w:r w:rsidRPr="00FA35BA">
              <w:rPr>
                <w:color w:val="000000"/>
                <w:lang w:eastAsia="es-ES"/>
              </w:rPr>
              <w:t>Contexto de la normativa energética</w:t>
            </w: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c>
          <w:tcPr>
            <w:tcW w:w="627" w:type="pct"/>
            <w:tcBorders>
              <w:top w:val="nil"/>
              <w:left w:val="nil"/>
              <w:bottom w:val="nil"/>
              <w:right w:val="nil"/>
            </w:tcBorders>
            <w:noWrap/>
            <w:vAlign w:val="center"/>
          </w:tcPr>
          <w:p w:rsidR="002F43BA" w:rsidRPr="00FA35BA" w:rsidRDefault="002F43BA" w:rsidP="00FA35BA">
            <w:pPr>
              <w:rPr>
                <w:color w:val="000000"/>
                <w:lang w:eastAsia="es-ES"/>
              </w:rPr>
            </w:pP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620" w:type="pct"/>
            <w:gridSpan w:val="6"/>
            <w:tcBorders>
              <w:top w:val="nil"/>
              <w:left w:val="nil"/>
              <w:bottom w:val="nil"/>
              <w:right w:val="nil"/>
            </w:tcBorders>
            <w:noWrap/>
            <w:vAlign w:val="center"/>
          </w:tcPr>
          <w:p w:rsidR="002F43BA" w:rsidRPr="00FA35BA" w:rsidRDefault="002F43BA" w:rsidP="00FA35BA">
            <w:pPr>
              <w:rPr>
                <w:color w:val="000000"/>
                <w:lang w:eastAsia="es-ES"/>
              </w:rPr>
            </w:pPr>
            <w:r w:rsidRPr="00FA35BA">
              <w:rPr>
                <w:color w:val="000000"/>
                <w:lang w:eastAsia="es-ES"/>
              </w:rPr>
              <w:t>Real Decreto de Certificación energética de edificios Existentes.</w:t>
            </w: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r>
      <w:tr w:rsidR="002F43BA" w:rsidRPr="004C4DC3">
        <w:trPr>
          <w:gridBefore w:val="1"/>
          <w:wBefore w:w="751" w:type="pct"/>
          <w:trHeight w:val="300"/>
        </w:trPr>
        <w:tc>
          <w:tcPr>
            <w:tcW w:w="385" w:type="pct"/>
            <w:tcBorders>
              <w:top w:val="nil"/>
              <w:left w:val="nil"/>
              <w:bottom w:val="nil"/>
              <w:right w:val="nil"/>
            </w:tcBorders>
            <w:noWrap/>
            <w:vAlign w:val="bottom"/>
          </w:tcPr>
          <w:p w:rsidR="002F43BA" w:rsidRPr="00FA35BA" w:rsidRDefault="002F43BA" w:rsidP="00FA35BA">
            <w:pPr>
              <w:rPr>
                <w:rFonts w:ascii="Times New Roman" w:hAnsi="Times New Roman" w:cs="Times New Roman"/>
                <w:color w:val="000000"/>
                <w:sz w:val="20"/>
                <w:szCs w:val="20"/>
                <w:lang w:eastAsia="es-ES"/>
              </w:rPr>
            </w:pPr>
          </w:p>
        </w:tc>
        <w:tc>
          <w:tcPr>
            <w:tcW w:w="667" w:type="pct"/>
            <w:tcBorders>
              <w:top w:val="nil"/>
              <w:left w:val="nil"/>
              <w:bottom w:val="nil"/>
              <w:right w:val="nil"/>
            </w:tcBorders>
            <w:noWrap/>
            <w:vAlign w:val="center"/>
          </w:tcPr>
          <w:p w:rsidR="002F43BA" w:rsidRPr="00FA35BA" w:rsidRDefault="002F43BA" w:rsidP="00FA35BA">
            <w:pPr>
              <w:rPr>
                <w:color w:val="000000"/>
                <w:lang w:eastAsia="es-ES"/>
              </w:rPr>
            </w:pPr>
          </w:p>
        </w:tc>
        <w:tc>
          <w:tcPr>
            <w:tcW w:w="656" w:type="pct"/>
            <w:tcBorders>
              <w:top w:val="nil"/>
              <w:left w:val="nil"/>
              <w:bottom w:val="nil"/>
              <w:right w:val="nil"/>
            </w:tcBorders>
            <w:vAlign w:val="center"/>
          </w:tcPr>
          <w:p w:rsidR="002F43BA" w:rsidRPr="00FA35BA" w:rsidRDefault="002F43BA" w:rsidP="00FA35BA">
            <w:pPr>
              <w:rPr>
                <w:rFonts w:ascii="Times New Roman" w:hAnsi="Times New Roman" w:cs="Times New Roman"/>
                <w:color w:val="000000"/>
                <w:sz w:val="20"/>
                <w:szCs w:val="20"/>
                <w:lang w:eastAsia="es-ES"/>
              </w:rPr>
            </w:pPr>
          </w:p>
        </w:tc>
        <w:tc>
          <w:tcPr>
            <w:tcW w:w="656" w:type="pct"/>
            <w:tcBorders>
              <w:top w:val="nil"/>
              <w:left w:val="nil"/>
              <w:bottom w:val="nil"/>
              <w:right w:val="nil"/>
            </w:tcBorders>
            <w:vAlign w:val="center"/>
          </w:tcPr>
          <w:p w:rsidR="002F43BA" w:rsidRPr="00FA35BA" w:rsidRDefault="002F43BA" w:rsidP="00FA35BA">
            <w:pPr>
              <w:rPr>
                <w:rFonts w:ascii="Times New Roman" w:hAnsi="Times New Roman" w:cs="Times New Roman"/>
                <w:color w:val="000000"/>
                <w:sz w:val="20"/>
                <w:szCs w:val="20"/>
                <w:lang w:eastAsia="es-ES"/>
              </w:rPr>
            </w:pPr>
          </w:p>
        </w:tc>
        <w:tc>
          <w:tcPr>
            <w:tcW w:w="629" w:type="pct"/>
            <w:tcBorders>
              <w:top w:val="nil"/>
              <w:left w:val="nil"/>
              <w:bottom w:val="nil"/>
              <w:right w:val="nil"/>
            </w:tcBorders>
            <w:vAlign w:val="center"/>
          </w:tcPr>
          <w:p w:rsidR="002F43BA" w:rsidRPr="00FA35BA" w:rsidRDefault="002F43BA" w:rsidP="00FA35BA">
            <w:pPr>
              <w:rPr>
                <w:rFonts w:ascii="Times New Roman" w:hAnsi="Times New Roman" w:cs="Times New Roman"/>
                <w:color w:val="000000"/>
                <w:sz w:val="20"/>
                <w:szCs w:val="20"/>
                <w:lang w:eastAsia="es-ES"/>
              </w:rPr>
            </w:pPr>
          </w:p>
        </w:tc>
        <w:tc>
          <w:tcPr>
            <w:tcW w:w="627" w:type="pct"/>
            <w:tcBorders>
              <w:top w:val="nil"/>
              <w:left w:val="nil"/>
              <w:bottom w:val="nil"/>
              <w:right w:val="nil"/>
            </w:tcBorders>
            <w:vAlign w:val="center"/>
          </w:tcPr>
          <w:p w:rsidR="002F43BA" w:rsidRPr="00FA35BA" w:rsidRDefault="002F43BA" w:rsidP="00FA35BA">
            <w:pPr>
              <w:rPr>
                <w:rFonts w:ascii="Times New Roman" w:hAnsi="Times New Roman" w:cs="Times New Roman"/>
                <w:color w:val="000000"/>
                <w:sz w:val="20"/>
                <w:szCs w:val="20"/>
                <w:lang w:eastAsia="es-ES"/>
              </w:rPr>
            </w:pPr>
          </w:p>
        </w:tc>
        <w:tc>
          <w:tcPr>
            <w:tcW w:w="629" w:type="pct"/>
            <w:tcBorders>
              <w:top w:val="nil"/>
              <w:left w:val="nil"/>
              <w:bottom w:val="nil"/>
              <w:right w:val="nil"/>
            </w:tcBorders>
            <w:vAlign w:val="center"/>
          </w:tcPr>
          <w:p w:rsidR="002F43BA" w:rsidRPr="00FA35BA" w:rsidRDefault="002F43BA" w:rsidP="00FA35BA">
            <w:pPr>
              <w:rPr>
                <w:rFonts w:ascii="Times New Roman" w:hAnsi="Times New Roman" w:cs="Times New Roman"/>
                <w:color w:val="000000"/>
                <w:sz w:val="20"/>
                <w:szCs w:val="20"/>
                <w:lang w:eastAsia="es-ES"/>
              </w:rPr>
            </w:pPr>
          </w:p>
        </w:tc>
      </w:tr>
      <w:tr w:rsidR="002F43BA" w:rsidRPr="004C4DC3">
        <w:trPr>
          <w:trHeight w:val="300"/>
        </w:trPr>
        <w:tc>
          <w:tcPr>
            <w:tcW w:w="3115" w:type="pct"/>
            <w:gridSpan w:val="5"/>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Procedimiento Certificación Edificios Existentes</w:t>
            </w:r>
          </w:p>
        </w:tc>
        <w:tc>
          <w:tcPr>
            <w:tcW w:w="629" w:type="pct"/>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 </w:t>
            </w:r>
          </w:p>
        </w:tc>
        <w:tc>
          <w:tcPr>
            <w:tcW w:w="627" w:type="pct"/>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 </w:t>
            </w:r>
          </w:p>
        </w:tc>
        <w:tc>
          <w:tcPr>
            <w:tcW w:w="629" w:type="pct"/>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 </w:t>
            </w:r>
          </w:p>
        </w:tc>
      </w:tr>
      <w:tr w:rsidR="002F43BA" w:rsidRPr="004C4DC3">
        <w:trPr>
          <w:gridBefore w:val="1"/>
          <w:wBefore w:w="751" w:type="pct"/>
          <w:trHeight w:val="300"/>
        </w:trPr>
        <w:tc>
          <w:tcPr>
            <w:tcW w:w="3620" w:type="pct"/>
            <w:gridSpan w:val="6"/>
            <w:tcBorders>
              <w:top w:val="nil"/>
              <w:left w:val="nil"/>
              <w:bottom w:val="nil"/>
              <w:right w:val="nil"/>
            </w:tcBorders>
            <w:noWrap/>
            <w:vAlign w:val="center"/>
          </w:tcPr>
          <w:p w:rsidR="002F43BA" w:rsidRPr="00FA35BA" w:rsidRDefault="002F43BA" w:rsidP="00FA35BA">
            <w:pPr>
              <w:rPr>
                <w:color w:val="000000"/>
                <w:lang w:eastAsia="es-ES"/>
              </w:rPr>
            </w:pPr>
            <w:r w:rsidRPr="00FA35BA">
              <w:rPr>
                <w:color w:val="000000"/>
                <w:lang w:eastAsia="es-ES"/>
              </w:rPr>
              <w:t>Fundamentos técnicos del programa</w:t>
            </w: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r>
      <w:tr w:rsidR="002F43BA" w:rsidRPr="004C4DC3">
        <w:trPr>
          <w:gridBefore w:val="1"/>
          <w:wBefore w:w="751" w:type="pct"/>
          <w:trHeight w:val="300"/>
        </w:trPr>
        <w:tc>
          <w:tcPr>
            <w:tcW w:w="1052" w:type="pct"/>
            <w:gridSpan w:val="2"/>
            <w:tcBorders>
              <w:top w:val="nil"/>
              <w:left w:val="nil"/>
              <w:bottom w:val="nil"/>
              <w:right w:val="nil"/>
            </w:tcBorders>
            <w:noWrap/>
            <w:vAlign w:val="center"/>
          </w:tcPr>
          <w:p w:rsidR="002F43BA" w:rsidRPr="00FA35BA" w:rsidRDefault="002F43BA" w:rsidP="00FA35BA">
            <w:pPr>
              <w:rPr>
                <w:color w:val="000000"/>
                <w:lang w:eastAsia="es-ES"/>
              </w:rPr>
            </w:pPr>
            <w:r w:rsidRPr="00FA35BA">
              <w:rPr>
                <w:color w:val="000000"/>
                <w:lang w:eastAsia="es-ES"/>
              </w:rPr>
              <w:t>Estructura y alcance</w:t>
            </w:r>
          </w:p>
        </w:tc>
        <w:tc>
          <w:tcPr>
            <w:tcW w:w="656" w:type="pct"/>
            <w:tcBorders>
              <w:top w:val="nil"/>
              <w:left w:val="nil"/>
              <w:bottom w:val="nil"/>
              <w:right w:val="nil"/>
            </w:tcBorders>
            <w:noWrap/>
            <w:vAlign w:val="center"/>
          </w:tcPr>
          <w:p w:rsidR="002F43BA" w:rsidRPr="00FA35BA" w:rsidRDefault="002F43BA" w:rsidP="00FA35BA">
            <w:pPr>
              <w:rPr>
                <w:color w:val="000000"/>
                <w:lang w:eastAsia="es-ES"/>
              </w:rPr>
            </w:pPr>
          </w:p>
        </w:tc>
        <w:tc>
          <w:tcPr>
            <w:tcW w:w="656" w:type="pct"/>
            <w:tcBorders>
              <w:top w:val="nil"/>
              <w:left w:val="nil"/>
              <w:bottom w:val="nil"/>
              <w:right w:val="nil"/>
            </w:tcBorders>
            <w:noWrap/>
            <w:vAlign w:val="center"/>
          </w:tcPr>
          <w:p w:rsidR="002F43BA" w:rsidRPr="00FA35BA" w:rsidRDefault="002F43BA" w:rsidP="00FA35BA">
            <w:pPr>
              <w:rPr>
                <w:color w:val="000000"/>
                <w:lang w:eastAsia="es-ES"/>
              </w:rPr>
            </w:pP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c>
          <w:tcPr>
            <w:tcW w:w="627" w:type="pct"/>
            <w:tcBorders>
              <w:top w:val="nil"/>
              <w:left w:val="nil"/>
              <w:bottom w:val="nil"/>
              <w:right w:val="nil"/>
            </w:tcBorders>
            <w:noWrap/>
            <w:vAlign w:val="center"/>
          </w:tcPr>
          <w:p w:rsidR="002F43BA" w:rsidRPr="00FA35BA" w:rsidRDefault="002F43BA" w:rsidP="00FA35BA">
            <w:pPr>
              <w:rPr>
                <w:color w:val="000000"/>
                <w:lang w:eastAsia="es-ES"/>
              </w:rPr>
            </w:pP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bottom w:val="nil"/>
              <w:right w:val="nil"/>
            </w:tcBorders>
            <w:vAlign w:val="center"/>
          </w:tcPr>
          <w:p w:rsidR="002F43BA" w:rsidRPr="00FA35BA" w:rsidRDefault="002F43BA" w:rsidP="00FA35BA">
            <w:pPr>
              <w:rPr>
                <w:rFonts w:ascii="Times New Roman" w:hAnsi="Times New Roman" w:cs="Times New Roman"/>
                <w:color w:val="000000"/>
                <w:sz w:val="20"/>
                <w:szCs w:val="20"/>
                <w:lang w:eastAsia="es-ES"/>
              </w:rPr>
            </w:pPr>
          </w:p>
        </w:tc>
        <w:tc>
          <w:tcPr>
            <w:tcW w:w="1708" w:type="pct"/>
            <w:gridSpan w:val="3"/>
            <w:tcBorders>
              <w:top w:val="nil"/>
              <w:left w:val="nil"/>
              <w:bottom w:val="nil"/>
              <w:right w:val="nil"/>
            </w:tcBorders>
            <w:noWrap/>
            <w:vAlign w:val="center"/>
          </w:tcPr>
          <w:p w:rsidR="002F43BA" w:rsidRPr="00FA35BA" w:rsidRDefault="002F43BA" w:rsidP="00FA35BA">
            <w:pPr>
              <w:rPr>
                <w:color w:val="000000"/>
                <w:lang w:eastAsia="es-ES"/>
              </w:rPr>
            </w:pPr>
            <w:r w:rsidRPr="00FA35BA">
              <w:rPr>
                <w:color w:val="000000"/>
                <w:lang w:eastAsia="es-ES"/>
              </w:rPr>
              <w:t>Fundamentos de la calificación</w:t>
            </w:r>
          </w:p>
        </w:tc>
        <w:tc>
          <w:tcPr>
            <w:tcW w:w="656" w:type="pct"/>
            <w:tcBorders>
              <w:top w:val="nil"/>
              <w:left w:val="nil"/>
              <w:bottom w:val="nil"/>
              <w:right w:val="nil"/>
            </w:tcBorders>
            <w:noWrap/>
            <w:vAlign w:val="center"/>
          </w:tcPr>
          <w:p w:rsidR="002F43BA" w:rsidRPr="00FA35BA" w:rsidRDefault="002F43BA" w:rsidP="00FA35BA">
            <w:pPr>
              <w:rPr>
                <w:color w:val="000000"/>
                <w:lang w:eastAsia="es-ES"/>
              </w:rPr>
            </w:pP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c>
          <w:tcPr>
            <w:tcW w:w="627" w:type="pct"/>
            <w:tcBorders>
              <w:top w:val="nil"/>
              <w:left w:val="nil"/>
              <w:bottom w:val="nil"/>
              <w:right w:val="nil"/>
            </w:tcBorders>
            <w:noWrap/>
            <w:vAlign w:val="center"/>
          </w:tcPr>
          <w:p w:rsidR="002F43BA" w:rsidRPr="00FA35BA" w:rsidRDefault="002F43BA" w:rsidP="00FA35BA">
            <w:pPr>
              <w:rPr>
                <w:color w:val="000000"/>
                <w:lang w:eastAsia="es-ES"/>
              </w:rPr>
            </w:pP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bottom w:val="nil"/>
              <w:right w:val="nil"/>
            </w:tcBorders>
            <w:vAlign w:val="center"/>
          </w:tcPr>
          <w:p w:rsidR="002F43BA" w:rsidRPr="00FA35BA" w:rsidRDefault="002F43BA" w:rsidP="00FA35BA">
            <w:pPr>
              <w:rPr>
                <w:rFonts w:ascii="Times New Roman" w:hAnsi="Times New Roman" w:cs="Times New Roman"/>
                <w:color w:val="000000"/>
                <w:sz w:val="20"/>
                <w:szCs w:val="20"/>
                <w:lang w:eastAsia="es-ES"/>
              </w:rPr>
            </w:pPr>
          </w:p>
        </w:tc>
        <w:tc>
          <w:tcPr>
            <w:tcW w:w="2364" w:type="pct"/>
            <w:gridSpan w:val="4"/>
            <w:tcBorders>
              <w:top w:val="nil"/>
              <w:left w:val="nil"/>
              <w:bottom w:val="nil"/>
              <w:right w:val="nil"/>
            </w:tcBorders>
            <w:noWrap/>
            <w:vAlign w:val="center"/>
          </w:tcPr>
          <w:p w:rsidR="002F43BA" w:rsidRPr="00FA35BA" w:rsidRDefault="002F43BA" w:rsidP="00FA35BA">
            <w:pPr>
              <w:rPr>
                <w:color w:val="000000"/>
                <w:lang w:eastAsia="es-ES"/>
              </w:rPr>
            </w:pPr>
            <w:r w:rsidRPr="00FA35BA">
              <w:rPr>
                <w:color w:val="000000"/>
                <w:lang w:eastAsia="es-ES"/>
              </w:rPr>
              <w:t>Obtención de la calificación energética</w:t>
            </w: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c>
          <w:tcPr>
            <w:tcW w:w="627" w:type="pct"/>
            <w:tcBorders>
              <w:top w:val="nil"/>
              <w:left w:val="nil"/>
              <w:bottom w:val="nil"/>
              <w:right w:val="nil"/>
            </w:tcBorders>
            <w:noWrap/>
            <w:vAlign w:val="center"/>
          </w:tcPr>
          <w:p w:rsidR="002F43BA" w:rsidRPr="00FA35BA" w:rsidRDefault="002F43BA" w:rsidP="00FA35BA">
            <w:pPr>
              <w:rPr>
                <w:color w:val="000000"/>
                <w:lang w:eastAsia="es-ES"/>
              </w:rPr>
            </w:pP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right w:val="nil"/>
            </w:tcBorders>
            <w:vAlign w:val="center"/>
          </w:tcPr>
          <w:p w:rsidR="002F43BA" w:rsidRPr="00FA35BA" w:rsidRDefault="002F43BA" w:rsidP="00FA35BA">
            <w:pPr>
              <w:rPr>
                <w:rFonts w:ascii="Times New Roman" w:hAnsi="Times New Roman" w:cs="Times New Roman"/>
                <w:color w:val="000000"/>
                <w:sz w:val="20"/>
                <w:szCs w:val="20"/>
                <w:lang w:eastAsia="es-ES"/>
              </w:rPr>
            </w:pPr>
          </w:p>
        </w:tc>
        <w:tc>
          <w:tcPr>
            <w:tcW w:w="2364" w:type="pct"/>
            <w:gridSpan w:val="4"/>
            <w:tcBorders>
              <w:top w:val="nil"/>
              <w:left w:val="nil"/>
              <w:right w:val="nil"/>
            </w:tcBorders>
            <w:noWrap/>
            <w:vAlign w:val="center"/>
          </w:tcPr>
          <w:p w:rsidR="002F43BA" w:rsidRPr="00FA35BA" w:rsidRDefault="002F43BA" w:rsidP="00FA35BA">
            <w:pPr>
              <w:rPr>
                <w:color w:val="000000"/>
                <w:lang w:eastAsia="es-ES"/>
              </w:rPr>
            </w:pPr>
            <w:r w:rsidRPr="00FA35BA">
              <w:rPr>
                <w:color w:val="000000"/>
                <w:lang w:eastAsia="es-ES"/>
              </w:rPr>
              <w:t>Certificado de eficiencia energética</w:t>
            </w:r>
          </w:p>
        </w:tc>
        <w:tc>
          <w:tcPr>
            <w:tcW w:w="629" w:type="pct"/>
            <w:tcBorders>
              <w:top w:val="nil"/>
              <w:left w:val="nil"/>
              <w:right w:val="nil"/>
            </w:tcBorders>
            <w:noWrap/>
            <w:vAlign w:val="center"/>
          </w:tcPr>
          <w:p w:rsidR="002F43BA" w:rsidRPr="00FA35BA" w:rsidRDefault="002F43BA" w:rsidP="00FA35BA">
            <w:pPr>
              <w:rPr>
                <w:color w:val="000000"/>
                <w:lang w:eastAsia="es-ES"/>
              </w:rPr>
            </w:pPr>
          </w:p>
        </w:tc>
        <w:tc>
          <w:tcPr>
            <w:tcW w:w="627" w:type="pct"/>
            <w:tcBorders>
              <w:top w:val="nil"/>
              <w:left w:val="nil"/>
              <w:right w:val="nil"/>
            </w:tcBorders>
            <w:noWrap/>
            <w:vAlign w:val="center"/>
          </w:tcPr>
          <w:p w:rsidR="002F43BA" w:rsidRPr="00FA35BA" w:rsidRDefault="002F43BA" w:rsidP="00FA35BA">
            <w:pPr>
              <w:rPr>
                <w:color w:val="000000"/>
                <w:lang w:eastAsia="es-ES"/>
              </w:rPr>
            </w:pPr>
          </w:p>
        </w:tc>
        <w:tc>
          <w:tcPr>
            <w:tcW w:w="629" w:type="pct"/>
            <w:tcBorders>
              <w:top w:val="nil"/>
              <w:left w:val="nil"/>
              <w:right w:val="nil"/>
            </w:tcBorders>
            <w:noWrap/>
            <w:vAlign w:val="center"/>
          </w:tcPr>
          <w:p w:rsidR="002F43BA" w:rsidRPr="00FA35BA" w:rsidRDefault="002F43BA" w:rsidP="00FA35BA">
            <w:pPr>
              <w:rPr>
                <w:color w:val="000000"/>
                <w:lang w:eastAsia="es-ES"/>
              </w:rPr>
            </w:pPr>
          </w:p>
        </w:tc>
      </w:tr>
      <w:tr w:rsidR="002F43BA" w:rsidRPr="004C4DC3">
        <w:trPr>
          <w:trHeight w:val="300"/>
        </w:trPr>
        <w:tc>
          <w:tcPr>
            <w:tcW w:w="3115" w:type="pct"/>
            <w:gridSpan w:val="5"/>
            <w:tcBorders>
              <w:top w:val="nil"/>
              <w:left w:val="nil"/>
              <w:bottom w:val="nil"/>
              <w:right w:val="nil"/>
            </w:tcBorders>
            <w:shd w:val="clear" w:color="000000" w:fill="FFFFFF"/>
            <w:noWrap/>
            <w:vAlign w:val="center"/>
          </w:tcPr>
          <w:p w:rsidR="002F43BA" w:rsidRPr="00FA35BA" w:rsidRDefault="002F43BA" w:rsidP="00FA35BA">
            <w:pPr>
              <w:rPr>
                <w:color w:val="000000"/>
                <w:lang w:eastAsia="es-ES"/>
              </w:rPr>
            </w:pPr>
          </w:p>
        </w:tc>
        <w:tc>
          <w:tcPr>
            <w:tcW w:w="629" w:type="pct"/>
            <w:tcBorders>
              <w:top w:val="nil"/>
              <w:left w:val="nil"/>
              <w:bottom w:val="nil"/>
              <w:right w:val="nil"/>
            </w:tcBorders>
            <w:shd w:val="clear" w:color="000000" w:fill="FFFFFF"/>
            <w:noWrap/>
            <w:vAlign w:val="center"/>
          </w:tcPr>
          <w:p w:rsidR="002F43BA" w:rsidRPr="00FA35BA" w:rsidRDefault="002F43BA" w:rsidP="00FA35BA">
            <w:pPr>
              <w:rPr>
                <w:color w:val="000000"/>
                <w:lang w:eastAsia="es-ES"/>
              </w:rPr>
            </w:pPr>
          </w:p>
        </w:tc>
        <w:tc>
          <w:tcPr>
            <w:tcW w:w="1257" w:type="pct"/>
            <w:gridSpan w:val="2"/>
            <w:tcBorders>
              <w:top w:val="nil"/>
              <w:left w:val="nil"/>
              <w:bottom w:val="nil"/>
              <w:right w:val="nil"/>
            </w:tcBorders>
            <w:shd w:val="clear" w:color="000000" w:fill="FFFFFF"/>
            <w:noWrap/>
            <w:vAlign w:val="center"/>
          </w:tcPr>
          <w:p w:rsidR="002F43BA" w:rsidRPr="00FA35BA" w:rsidRDefault="002F43BA" w:rsidP="00FA35BA">
            <w:pPr>
              <w:rPr>
                <w:color w:val="000000"/>
                <w:lang w:eastAsia="es-ES"/>
              </w:rPr>
            </w:pPr>
          </w:p>
        </w:tc>
      </w:tr>
      <w:tr w:rsidR="002F43BA" w:rsidRPr="004C4DC3">
        <w:trPr>
          <w:trHeight w:val="300"/>
        </w:trPr>
        <w:tc>
          <w:tcPr>
            <w:tcW w:w="3115" w:type="pct"/>
            <w:gridSpan w:val="5"/>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Procedimiento Viviendas</w:t>
            </w:r>
          </w:p>
        </w:tc>
        <w:tc>
          <w:tcPr>
            <w:tcW w:w="629" w:type="pct"/>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 </w:t>
            </w:r>
          </w:p>
        </w:tc>
        <w:tc>
          <w:tcPr>
            <w:tcW w:w="1257" w:type="pct"/>
            <w:gridSpan w:val="2"/>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 </w:t>
            </w:r>
          </w:p>
        </w:tc>
      </w:tr>
      <w:tr w:rsidR="002F43BA" w:rsidRPr="004C4DC3">
        <w:trPr>
          <w:gridBefore w:val="1"/>
          <w:wBefore w:w="751" w:type="pct"/>
          <w:trHeight w:val="300"/>
        </w:trPr>
        <w:tc>
          <w:tcPr>
            <w:tcW w:w="2364" w:type="pct"/>
            <w:gridSpan w:val="4"/>
            <w:tcBorders>
              <w:top w:val="nil"/>
              <w:left w:val="nil"/>
              <w:bottom w:val="nil"/>
              <w:right w:val="nil"/>
            </w:tcBorders>
            <w:noWrap/>
            <w:vAlign w:val="center"/>
          </w:tcPr>
          <w:p w:rsidR="002F43BA" w:rsidRPr="00FA35BA" w:rsidRDefault="002F43BA" w:rsidP="00FA35BA">
            <w:pPr>
              <w:rPr>
                <w:color w:val="000000"/>
                <w:lang w:eastAsia="es-ES"/>
              </w:rPr>
            </w:pPr>
            <w:r w:rsidRPr="00FA35BA">
              <w:rPr>
                <w:color w:val="000000"/>
                <w:lang w:eastAsia="es-ES"/>
              </w:rPr>
              <w:t>Manejo y características módulo Vivienda</w:t>
            </w: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c>
          <w:tcPr>
            <w:tcW w:w="627" w:type="pct"/>
            <w:tcBorders>
              <w:top w:val="nil"/>
              <w:left w:val="nil"/>
              <w:bottom w:val="nil"/>
              <w:right w:val="nil"/>
            </w:tcBorders>
            <w:noWrap/>
            <w:vAlign w:val="center"/>
          </w:tcPr>
          <w:p w:rsidR="002F43BA" w:rsidRPr="00FA35BA" w:rsidRDefault="002F43BA" w:rsidP="00FA35BA">
            <w:pPr>
              <w:rPr>
                <w:color w:val="000000"/>
                <w:lang w:eastAsia="es-ES"/>
              </w:rPr>
            </w:pP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1979" w:type="pct"/>
            <w:gridSpan w:val="3"/>
            <w:tcBorders>
              <w:top w:val="nil"/>
              <w:left w:val="nil"/>
              <w:bottom w:val="nil"/>
              <w:right w:val="nil"/>
            </w:tcBorders>
            <w:noWrap/>
            <w:vAlign w:val="center"/>
          </w:tcPr>
          <w:p w:rsidR="002F43BA" w:rsidRPr="00FA35BA" w:rsidRDefault="002F43BA" w:rsidP="00FA35BA">
            <w:pPr>
              <w:rPr>
                <w:color w:val="000000"/>
                <w:sz w:val="20"/>
                <w:szCs w:val="20"/>
                <w:lang w:eastAsia="es-ES"/>
              </w:rPr>
            </w:pPr>
            <w:r w:rsidRPr="00FA35BA">
              <w:rPr>
                <w:color w:val="000000"/>
                <w:sz w:val="20"/>
                <w:szCs w:val="20"/>
                <w:lang w:eastAsia="es-ES"/>
              </w:rPr>
              <w:t>Definición del edificio/envolvente térmica</w:t>
            </w:r>
          </w:p>
        </w:tc>
        <w:tc>
          <w:tcPr>
            <w:tcW w:w="629" w:type="pct"/>
            <w:tcBorders>
              <w:top w:val="nil"/>
              <w:left w:val="nil"/>
              <w:bottom w:val="nil"/>
              <w:right w:val="nil"/>
            </w:tcBorders>
            <w:noWrap/>
            <w:vAlign w:val="bottom"/>
          </w:tcPr>
          <w:p w:rsidR="002F43BA" w:rsidRPr="00FA35BA" w:rsidRDefault="002F43BA" w:rsidP="00FA35BA">
            <w:pPr>
              <w:rPr>
                <w:color w:val="000000"/>
                <w:lang w:eastAsia="es-ES"/>
              </w:rPr>
            </w:pPr>
          </w:p>
        </w:tc>
        <w:tc>
          <w:tcPr>
            <w:tcW w:w="627" w:type="pct"/>
            <w:tcBorders>
              <w:top w:val="nil"/>
              <w:left w:val="nil"/>
              <w:bottom w:val="nil"/>
              <w:right w:val="nil"/>
            </w:tcBorders>
            <w:noWrap/>
            <w:vAlign w:val="bottom"/>
          </w:tcPr>
          <w:p w:rsidR="002F43BA" w:rsidRPr="00FA35BA" w:rsidRDefault="002F43BA" w:rsidP="00FA35BA">
            <w:pPr>
              <w:rPr>
                <w:color w:val="000000"/>
                <w:lang w:eastAsia="es-ES"/>
              </w:rPr>
            </w:pPr>
          </w:p>
        </w:tc>
        <w:tc>
          <w:tcPr>
            <w:tcW w:w="629" w:type="pct"/>
            <w:tcBorders>
              <w:top w:val="nil"/>
              <w:left w:val="nil"/>
              <w:bottom w:val="nil"/>
              <w:right w:val="nil"/>
            </w:tcBorders>
            <w:noWrap/>
            <w:vAlign w:val="bottom"/>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1979" w:type="pct"/>
            <w:gridSpan w:val="3"/>
            <w:tcBorders>
              <w:top w:val="nil"/>
              <w:left w:val="nil"/>
              <w:bottom w:val="nil"/>
              <w:right w:val="nil"/>
            </w:tcBorders>
            <w:noWrap/>
            <w:vAlign w:val="center"/>
          </w:tcPr>
          <w:p w:rsidR="002F43BA" w:rsidRPr="00FA35BA" w:rsidRDefault="002F43BA" w:rsidP="00FA35BA">
            <w:pPr>
              <w:rPr>
                <w:color w:val="000000"/>
                <w:sz w:val="20"/>
                <w:szCs w:val="20"/>
                <w:lang w:eastAsia="es-ES"/>
              </w:rPr>
            </w:pPr>
            <w:r w:rsidRPr="00FA35BA">
              <w:rPr>
                <w:color w:val="000000"/>
                <w:sz w:val="20"/>
                <w:szCs w:val="20"/>
                <w:lang w:eastAsia="es-ES"/>
              </w:rPr>
              <w:t>Definición de las instalaciones</w:t>
            </w:r>
          </w:p>
        </w:tc>
        <w:tc>
          <w:tcPr>
            <w:tcW w:w="629" w:type="pct"/>
            <w:tcBorders>
              <w:top w:val="nil"/>
              <w:left w:val="nil"/>
              <w:bottom w:val="nil"/>
              <w:right w:val="nil"/>
            </w:tcBorders>
            <w:noWrap/>
            <w:vAlign w:val="bottom"/>
          </w:tcPr>
          <w:p w:rsidR="002F43BA" w:rsidRPr="00FA35BA" w:rsidRDefault="002F43BA" w:rsidP="00FA35BA">
            <w:pPr>
              <w:rPr>
                <w:color w:val="000000"/>
                <w:lang w:eastAsia="es-ES"/>
              </w:rPr>
            </w:pPr>
          </w:p>
        </w:tc>
        <w:tc>
          <w:tcPr>
            <w:tcW w:w="627" w:type="pct"/>
            <w:tcBorders>
              <w:top w:val="nil"/>
              <w:left w:val="nil"/>
              <w:bottom w:val="nil"/>
              <w:right w:val="nil"/>
            </w:tcBorders>
            <w:noWrap/>
            <w:vAlign w:val="bottom"/>
          </w:tcPr>
          <w:p w:rsidR="002F43BA" w:rsidRPr="00FA35BA" w:rsidRDefault="002F43BA" w:rsidP="00FA35BA">
            <w:pPr>
              <w:rPr>
                <w:color w:val="000000"/>
                <w:lang w:eastAsia="es-ES"/>
              </w:rPr>
            </w:pPr>
          </w:p>
        </w:tc>
        <w:tc>
          <w:tcPr>
            <w:tcW w:w="629" w:type="pct"/>
            <w:tcBorders>
              <w:top w:val="nil"/>
              <w:left w:val="nil"/>
              <w:bottom w:val="nil"/>
              <w:right w:val="nil"/>
            </w:tcBorders>
            <w:noWrap/>
            <w:vAlign w:val="bottom"/>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3865" w:type="pct"/>
            <w:gridSpan w:val="6"/>
            <w:tcBorders>
              <w:top w:val="nil"/>
              <w:left w:val="nil"/>
              <w:bottom w:val="nil"/>
              <w:right w:val="nil"/>
            </w:tcBorders>
            <w:noWrap/>
            <w:vAlign w:val="center"/>
          </w:tcPr>
          <w:p w:rsidR="002F43BA" w:rsidRPr="00FA35BA" w:rsidRDefault="002F43BA" w:rsidP="00FA35BA">
            <w:pPr>
              <w:rPr>
                <w:color w:val="000000"/>
                <w:sz w:val="20"/>
                <w:szCs w:val="20"/>
                <w:lang w:eastAsia="es-ES"/>
              </w:rPr>
            </w:pPr>
            <w:r w:rsidRPr="00FA35BA">
              <w:rPr>
                <w:color w:val="000000"/>
                <w:sz w:val="20"/>
                <w:szCs w:val="20"/>
                <w:lang w:eastAsia="es-ES"/>
              </w:rPr>
              <w:t>Medidas de mejora. Definición de los conjuntos de mejora de la eficiencia energética.</w:t>
            </w: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2608" w:type="pct"/>
            <w:gridSpan w:val="4"/>
            <w:tcBorders>
              <w:top w:val="nil"/>
              <w:left w:val="nil"/>
              <w:bottom w:val="nil"/>
              <w:right w:val="nil"/>
            </w:tcBorders>
            <w:noWrap/>
            <w:vAlign w:val="center"/>
          </w:tcPr>
          <w:p w:rsidR="002F43BA" w:rsidRPr="00FA35BA" w:rsidRDefault="002F43BA" w:rsidP="00FA35BA">
            <w:pPr>
              <w:rPr>
                <w:color w:val="000000"/>
                <w:sz w:val="20"/>
                <w:szCs w:val="20"/>
                <w:lang w:eastAsia="es-ES"/>
              </w:rPr>
            </w:pPr>
            <w:r w:rsidRPr="00FA35BA">
              <w:rPr>
                <w:color w:val="000000"/>
                <w:sz w:val="20"/>
                <w:szCs w:val="20"/>
                <w:lang w:eastAsia="es-ES"/>
              </w:rPr>
              <w:t>Análisis económico de las medidas de mejora.</w:t>
            </w:r>
          </w:p>
        </w:tc>
        <w:tc>
          <w:tcPr>
            <w:tcW w:w="627" w:type="pct"/>
            <w:tcBorders>
              <w:top w:val="nil"/>
              <w:left w:val="nil"/>
              <w:bottom w:val="nil"/>
              <w:right w:val="nil"/>
            </w:tcBorders>
            <w:noWrap/>
            <w:vAlign w:val="bottom"/>
          </w:tcPr>
          <w:p w:rsidR="002F43BA" w:rsidRPr="00FA35BA" w:rsidRDefault="002F43BA" w:rsidP="00FA35BA">
            <w:pPr>
              <w:rPr>
                <w:color w:val="000000"/>
                <w:lang w:eastAsia="es-ES"/>
              </w:rPr>
            </w:pPr>
          </w:p>
        </w:tc>
        <w:tc>
          <w:tcPr>
            <w:tcW w:w="629" w:type="pct"/>
            <w:tcBorders>
              <w:top w:val="nil"/>
              <w:left w:val="nil"/>
              <w:bottom w:val="nil"/>
              <w:right w:val="nil"/>
            </w:tcBorders>
            <w:noWrap/>
            <w:vAlign w:val="bottom"/>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2608" w:type="pct"/>
            <w:gridSpan w:val="4"/>
            <w:tcBorders>
              <w:top w:val="nil"/>
              <w:left w:val="nil"/>
              <w:bottom w:val="nil"/>
              <w:right w:val="nil"/>
            </w:tcBorders>
            <w:noWrap/>
            <w:vAlign w:val="center"/>
          </w:tcPr>
          <w:p w:rsidR="002F43BA" w:rsidRPr="00FA35BA" w:rsidRDefault="002F43BA" w:rsidP="00FA35BA">
            <w:pPr>
              <w:rPr>
                <w:color w:val="000000"/>
                <w:sz w:val="20"/>
                <w:szCs w:val="20"/>
                <w:lang w:eastAsia="es-ES"/>
              </w:rPr>
            </w:pPr>
            <w:r w:rsidRPr="00FA35BA">
              <w:rPr>
                <w:color w:val="000000"/>
                <w:sz w:val="20"/>
                <w:szCs w:val="20"/>
                <w:lang w:eastAsia="es-ES"/>
              </w:rPr>
              <w:t>Obtención de la etiqueta, interpretación de resultados</w:t>
            </w:r>
          </w:p>
        </w:tc>
        <w:tc>
          <w:tcPr>
            <w:tcW w:w="627" w:type="pct"/>
            <w:tcBorders>
              <w:top w:val="nil"/>
              <w:left w:val="nil"/>
              <w:bottom w:val="nil"/>
              <w:right w:val="nil"/>
            </w:tcBorders>
            <w:noWrap/>
            <w:vAlign w:val="bottom"/>
          </w:tcPr>
          <w:p w:rsidR="002F43BA" w:rsidRPr="00FA35BA" w:rsidRDefault="002F43BA" w:rsidP="00FA35BA">
            <w:pPr>
              <w:rPr>
                <w:color w:val="000000"/>
                <w:lang w:eastAsia="es-ES"/>
              </w:rPr>
            </w:pPr>
          </w:p>
        </w:tc>
        <w:tc>
          <w:tcPr>
            <w:tcW w:w="629" w:type="pct"/>
            <w:tcBorders>
              <w:top w:val="nil"/>
              <w:left w:val="nil"/>
              <w:bottom w:val="nil"/>
              <w:right w:val="nil"/>
            </w:tcBorders>
            <w:noWrap/>
            <w:vAlign w:val="bottom"/>
          </w:tcPr>
          <w:p w:rsidR="002F43BA" w:rsidRPr="00FA35BA" w:rsidRDefault="002F43BA" w:rsidP="00FA35BA">
            <w:pPr>
              <w:rPr>
                <w:color w:val="000000"/>
                <w:lang w:eastAsia="es-ES"/>
              </w:rPr>
            </w:pPr>
          </w:p>
        </w:tc>
      </w:tr>
      <w:tr w:rsidR="002F43BA" w:rsidRPr="004C4DC3">
        <w:trPr>
          <w:gridBefore w:val="1"/>
          <w:wBefore w:w="751" w:type="pct"/>
          <w:trHeight w:val="300"/>
        </w:trPr>
        <w:tc>
          <w:tcPr>
            <w:tcW w:w="1708" w:type="pct"/>
            <w:gridSpan w:val="3"/>
            <w:tcBorders>
              <w:top w:val="nil"/>
              <w:left w:val="nil"/>
              <w:bottom w:val="nil"/>
              <w:right w:val="nil"/>
            </w:tcBorders>
            <w:noWrap/>
            <w:vAlign w:val="center"/>
          </w:tcPr>
          <w:p w:rsidR="002F43BA" w:rsidRPr="00FA35BA" w:rsidRDefault="002F43BA" w:rsidP="00FA35BA">
            <w:pPr>
              <w:rPr>
                <w:color w:val="000000"/>
                <w:lang w:eastAsia="es-ES"/>
              </w:rPr>
            </w:pPr>
            <w:r w:rsidRPr="00FA35BA">
              <w:rPr>
                <w:color w:val="000000"/>
                <w:lang w:eastAsia="es-ES"/>
              </w:rPr>
              <w:t>Caso práctico  módulo Vivienda</w:t>
            </w:r>
          </w:p>
        </w:tc>
        <w:tc>
          <w:tcPr>
            <w:tcW w:w="656" w:type="pct"/>
            <w:tcBorders>
              <w:top w:val="nil"/>
              <w:left w:val="nil"/>
              <w:bottom w:val="nil"/>
              <w:right w:val="nil"/>
            </w:tcBorders>
            <w:noWrap/>
            <w:vAlign w:val="center"/>
          </w:tcPr>
          <w:p w:rsidR="002F43BA" w:rsidRPr="00FA35BA" w:rsidRDefault="002F43BA" w:rsidP="00FA35BA">
            <w:pPr>
              <w:rPr>
                <w:color w:val="000000"/>
                <w:lang w:eastAsia="es-ES"/>
              </w:rPr>
            </w:pP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c>
          <w:tcPr>
            <w:tcW w:w="627" w:type="pct"/>
            <w:tcBorders>
              <w:top w:val="nil"/>
              <w:left w:val="nil"/>
              <w:bottom w:val="nil"/>
              <w:right w:val="nil"/>
            </w:tcBorders>
            <w:noWrap/>
            <w:vAlign w:val="center"/>
          </w:tcPr>
          <w:p w:rsidR="002F43BA" w:rsidRPr="00FA35BA" w:rsidRDefault="002F43BA" w:rsidP="00FA35BA">
            <w:pPr>
              <w:rPr>
                <w:color w:val="000000"/>
                <w:lang w:eastAsia="es-ES"/>
              </w:rPr>
            </w:pP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r>
      <w:tr w:rsidR="002F43BA" w:rsidRPr="004C4DC3">
        <w:trPr>
          <w:gridBefore w:val="1"/>
          <w:wBefore w:w="751" w:type="pct"/>
          <w:trHeight w:val="300"/>
        </w:trPr>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667" w:type="pct"/>
            <w:tcBorders>
              <w:top w:val="nil"/>
              <w:left w:val="nil"/>
              <w:bottom w:val="nil"/>
              <w:right w:val="nil"/>
            </w:tcBorders>
            <w:noWrap/>
            <w:vAlign w:val="bottom"/>
          </w:tcPr>
          <w:p w:rsidR="002F43BA" w:rsidRPr="00FA35BA" w:rsidRDefault="002F43BA" w:rsidP="00FA35BA">
            <w:pPr>
              <w:rPr>
                <w:color w:val="000000"/>
                <w:lang w:eastAsia="es-ES"/>
              </w:rPr>
            </w:pPr>
          </w:p>
        </w:tc>
        <w:tc>
          <w:tcPr>
            <w:tcW w:w="656" w:type="pct"/>
            <w:tcBorders>
              <w:top w:val="nil"/>
              <w:left w:val="nil"/>
              <w:bottom w:val="nil"/>
              <w:right w:val="nil"/>
            </w:tcBorders>
            <w:noWrap/>
            <w:vAlign w:val="bottom"/>
          </w:tcPr>
          <w:p w:rsidR="002F43BA" w:rsidRPr="00FA35BA" w:rsidRDefault="002F43BA" w:rsidP="00FA35BA">
            <w:pPr>
              <w:rPr>
                <w:color w:val="000000"/>
                <w:lang w:eastAsia="es-ES"/>
              </w:rPr>
            </w:pPr>
          </w:p>
        </w:tc>
        <w:tc>
          <w:tcPr>
            <w:tcW w:w="656" w:type="pct"/>
            <w:tcBorders>
              <w:top w:val="nil"/>
              <w:left w:val="nil"/>
              <w:bottom w:val="nil"/>
              <w:right w:val="nil"/>
            </w:tcBorders>
            <w:noWrap/>
            <w:vAlign w:val="bottom"/>
          </w:tcPr>
          <w:p w:rsidR="002F43BA" w:rsidRPr="00FA35BA" w:rsidRDefault="002F43BA" w:rsidP="00FA35BA">
            <w:pPr>
              <w:rPr>
                <w:color w:val="000000"/>
                <w:lang w:eastAsia="es-ES"/>
              </w:rPr>
            </w:pPr>
          </w:p>
        </w:tc>
        <w:tc>
          <w:tcPr>
            <w:tcW w:w="629" w:type="pct"/>
            <w:tcBorders>
              <w:top w:val="nil"/>
              <w:left w:val="nil"/>
              <w:bottom w:val="nil"/>
              <w:right w:val="nil"/>
            </w:tcBorders>
            <w:noWrap/>
            <w:vAlign w:val="bottom"/>
          </w:tcPr>
          <w:p w:rsidR="002F43BA" w:rsidRPr="00FA35BA" w:rsidRDefault="002F43BA" w:rsidP="00FA35BA">
            <w:pPr>
              <w:rPr>
                <w:color w:val="000000"/>
                <w:lang w:eastAsia="es-ES"/>
              </w:rPr>
            </w:pPr>
          </w:p>
        </w:tc>
        <w:tc>
          <w:tcPr>
            <w:tcW w:w="627" w:type="pct"/>
            <w:tcBorders>
              <w:top w:val="nil"/>
              <w:left w:val="nil"/>
              <w:bottom w:val="nil"/>
              <w:right w:val="nil"/>
            </w:tcBorders>
            <w:noWrap/>
            <w:vAlign w:val="bottom"/>
          </w:tcPr>
          <w:p w:rsidR="002F43BA" w:rsidRPr="00FA35BA" w:rsidRDefault="002F43BA" w:rsidP="00FA35BA">
            <w:pPr>
              <w:rPr>
                <w:color w:val="000000"/>
                <w:lang w:eastAsia="es-ES"/>
              </w:rPr>
            </w:pPr>
          </w:p>
        </w:tc>
        <w:tc>
          <w:tcPr>
            <w:tcW w:w="629" w:type="pct"/>
            <w:tcBorders>
              <w:top w:val="nil"/>
              <w:left w:val="nil"/>
              <w:bottom w:val="nil"/>
              <w:right w:val="nil"/>
            </w:tcBorders>
            <w:noWrap/>
            <w:vAlign w:val="bottom"/>
          </w:tcPr>
          <w:p w:rsidR="002F43BA" w:rsidRPr="00FA35BA" w:rsidRDefault="002F43BA" w:rsidP="00FA35BA">
            <w:pPr>
              <w:rPr>
                <w:color w:val="000000"/>
                <w:lang w:eastAsia="es-ES"/>
              </w:rPr>
            </w:pPr>
          </w:p>
        </w:tc>
      </w:tr>
      <w:tr w:rsidR="002F43BA" w:rsidRPr="004C4DC3">
        <w:trPr>
          <w:trHeight w:val="300"/>
        </w:trPr>
        <w:tc>
          <w:tcPr>
            <w:tcW w:w="2459" w:type="pct"/>
            <w:gridSpan w:val="4"/>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Procedimiento Pequeño y Mediano Terciario</w:t>
            </w:r>
          </w:p>
        </w:tc>
        <w:tc>
          <w:tcPr>
            <w:tcW w:w="656" w:type="pct"/>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 </w:t>
            </w:r>
          </w:p>
        </w:tc>
        <w:tc>
          <w:tcPr>
            <w:tcW w:w="629" w:type="pct"/>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 </w:t>
            </w:r>
          </w:p>
        </w:tc>
        <w:tc>
          <w:tcPr>
            <w:tcW w:w="1257" w:type="pct"/>
            <w:gridSpan w:val="2"/>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 </w:t>
            </w:r>
          </w:p>
        </w:tc>
      </w:tr>
      <w:tr w:rsidR="002F43BA" w:rsidRPr="004C4DC3">
        <w:trPr>
          <w:gridBefore w:val="1"/>
          <w:wBefore w:w="751" w:type="pct"/>
          <w:trHeight w:val="300"/>
        </w:trPr>
        <w:tc>
          <w:tcPr>
            <w:tcW w:w="1708" w:type="pct"/>
            <w:gridSpan w:val="3"/>
            <w:tcBorders>
              <w:top w:val="nil"/>
              <w:left w:val="nil"/>
              <w:bottom w:val="nil"/>
              <w:right w:val="nil"/>
            </w:tcBorders>
            <w:noWrap/>
            <w:vAlign w:val="center"/>
          </w:tcPr>
          <w:p w:rsidR="002F43BA" w:rsidRPr="00FA35BA" w:rsidRDefault="002F43BA" w:rsidP="00FA35BA">
            <w:pPr>
              <w:rPr>
                <w:color w:val="000000"/>
                <w:lang w:eastAsia="es-ES"/>
              </w:rPr>
            </w:pPr>
            <w:r w:rsidRPr="00FA35BA">
              <w:rPr>
                <w:color w:val="000000"/>
                <w:lang w:eastAsia="es-ES"/>
              </w:rPr>
              <w:t>Manejo y características  PMT</w:t>
            </w:r>
          </w:p>
        </w:tc>
        <w:tc>
          <w:tcPr>
            <w:tcW w:w="656" w:type="pct"/>
            <w:tcBorders>
              <w:top w:val="nil"/>
              <w:left w:val="nil"/>
              <w:bottom w:val="nil"/>
              <w:right w:val="nil"/>
            </w:tcBorders>
            <w:noWrap/>
            <w:vAlign w:val="center"/>
          </w:tcPr>
          <w:p w:rsidR="002F43BA" w:rsidRPr="00FA35BA" w:rsidRDefault="002F43BA" w:rsidP="00FA35BA">
            <w:pPr>
              <w:rPr>
                <w:color w:val="000000"/>
                <w:lang w:eastAsia="es-ES"/>
              </w:rPr>
            </w:pP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c>
          <w:tcPr>
            <w:tcW w:w="627" w:type="pct"/>
            <w:tcBorders>
              <w:top w:val="nil"/>
              <w:left w:val="nil"/>
              <w:bottom w:val="nil"/>
              <w:right w:val="nil"/>
            </w:tcBorders>
            <w:noWrap/>
            <w:vAlign w:val="center"/>
          </w:tcPr>
          <w:p w:rsidR="002F43BA" w:rsidRPr="00FA35BA" w:rsidRDefault="002F43BA" w:rsidP="00FA35BA">
            <w:pPr>
              <w:rPr>
                <w:color w:val="000000"/>
                <w:lang w:eastAsia="es-ES"/>
              </w:rPr>
            </w:pP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2608" w:type="pct"/>
            <w:gridSpan w:val="4"/>
            <w:tcBorders>
              <w:top w:val="nil"/>
              <w:left w:val="nil"/>
              <w:bottom w:val="nil"/>
              <w:right w:val="nil"/>
            </w:tcBorders>
            <w:noWrap/>
            <w:vAlign w:val="center"/>
          </w:tcPr>
          <w:p w:rsidR="002F43BA" w:rsidRPr="00FA35BA" w:rsidRDefault="002F43BA" w:rsidP="00FA35BA">
            <w:pPr>
              <w:rPr>
                <w:color w:val="000000"/>
                <w:sz w:val="20"/>
                <w:szCs w:val="20"/>
                <w:lang w:eastAsia="es-ES"/>
              </w:rPr>
            </w:pPr>
            <w:r w:rsidRPr="00FA35BA">
              <w:rPr>
                <w:color w:val="000000"/>
                <w:sz w:val="20"/>
                <w:szCs w:val="20"/>
                <w:lang w:eastAsia="es-ES"/>
              </w:rPr>
              <w:t>Definición de las instalaciones de pequeño terciario</w:t>
            </w:r>
          </w:p>
        </w:tc>
        <w:tc>
          <w:tcPr>
            <w:tcW w:w="627" w:type="pct"/>
            <w:tcBorders>
              <w:top w:val="nil"/>
              <w:left w:val="nil"/>
              <w:bottom w:val="nil"/>
              <w:right w:val="nil"/>
            </w:tcBorders>
            <w:noWrap/>
            <w:vAlign w:val="bottom"/>
          </w:tcPr>
          <w:p w:rsidR="002F43BA" w:rsidRPr="00FA35BA" w:rsidRDefault="002F43BA" w:rsidP="00FA35BA">
            <w:pPr>
              <w:rPr>
                <w:color w:val="000000"/>
                <w:lang w:eastAsia="es-ES"/>
              </w:rPr>
            </w:pPr>
          </w:p>
        </w:tc>
        <w:tc>
          <w:tcPr>
            <w:tcW w:w="629" w:type="pct"/>
            <w:tcBorders>
              <w:top w:val="nil"/>
              <w:left w:val="nil"/>
              <w:bottom w:val="nil"/>
              <w:right w:val="nil"/>
            </w:tcBorders>
            <w:noWrap/>
            <w:vAlign w:val="bottom"/>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1979" w:type="pct"/>
            <w:gridSpan w:val="3"/>
            <w:tcBorders>
              <w:top w:val="nil"/>
              <w:left w:val="nil"/>
              <w:bottom w:val="nil"/>
              <w:right w:val="nil"/>
            </w:tcBorders>
            <w:noWrap/>
            <w:vAlign w:val="center"/>
          </w:tcPr>
          <w:p w:rsidR="002F43BA" w:rsidRPr="00FA35BA" w:rsidRDefault="002F43BA" w:rsidP="00FA35BA">
            <w:pPr>
              <w:rPr>
                <w:color w:val="000000"/>
                <w:sz w:val="20"/>
                <w:szCs w:val="20"/>
                <w:lang w:eastAsia="es-ES"/>
              </w:rPr>
            </w:pPr>
            <w:r w:rsidRPr="00FA35BA">
              <w:rPr>
                <w:color w:val="000000"/>
                <w:sz w:val="20"/>
                <w:szCs w:val="20"/>
                <w:lang w:eastAsia="es-ES"/>
              </w:rPr>
              <w:t>Instalaciones de iluminación</w:t>
            </w:r>
          </w:p>
        </w:tc>
        <w:tc>
          <w:tcPr>
            <w:tcW w:w="629" w:type="pct"/>
            <w:tcBorders>
              <w:top w:val="nil"/>
              <w:left w:val="nil"/>
              <w:bottom w:val="nil"/>
              <w:right w:val="nil"/>
            </w:tcBorders>
            <w:noWrap/>
            <w:vAlign w:val="bottom"/>
          </w:tcPr>
          <w:p w:rsidR="002F43BA" w:rsidRPr="00FA35BA" w:rsidRDefault="002F43BA" w:rsidP="00FA35BA">
            <w:pPr>
              <w:rPr>
                <w:color w:val="000000"/>
                <w:lang w:eastAsia="es-ES"/>
              </w:rPr>
            </w:pPr>
          </w:p>
        </w:tc>
        <w:tc>
          <w:tcPr>
            <w:tcW w:w="627" w:type="pct"/>
            <w:tcBorders>
              <w:top w:val="nil"/>
              <w:left w:val="nil"/>
              <w:bottom w:val="nil"/>
              <w:right w:val="nil"/>
            </w:tcBorders>
            <w:noWrap/>
            <w:vAlign w:val="bottom"/>
          </w:tcPr>
          <w:p w:rsidR="002F43BA" w:rsidRPr="00FA35BA" w:rsidRDefault="002F43BA" w:rsidP="00FA35BA">
            <w:pPr>
              <w:rPr>
                <w:color w:val="000000"/>
                <w:lang w:eastAsia="es-ES"/>
              </w:rPr>
            </w:pPr>
          </w:p>
        </w:tc>
        <w:tc>
          <w:tcPr>
            <w:tcW w:w="629" w:type="pct"/>
            <w:tcBorders>
              <w:top w:val="nil"/>
              <w:left w:val="nil"/>
              <w:bottom w:val="nil"/>
              <w:right w:val="nil"/>
            </w:tcBorders>
            <w:noWrap/>
            <w:vAlign w:val="bottom"/>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3865" w:type="pct"/>
            <w:gridSpan w:val="6"/>
            <w:tcBorders>
              <w:top w:val="nil"/>
              <w:left w:val="nil"/>
              <w:bottom w:val="nil"/>
              <w:right w:val="nil"/>
            </w:tcBorders>
            <w:noWrap/>
            <w:vAlign w:val="center"/>
          </w:tcPr>
          <w:p w:rsidR="002F43BA" w:rsidRPr="00FA35BA" w:rsidRDefault="002F43BA" w:rsidP="00FA35BA">
            <w:pPr>
              <w:rPr>
                <w:color w:val="000000"/>
                <w:sz w:val="20"/>
                <w:szCs w:val="20"/>
                <w:lang w:eastAsia="es-ES"/>
              </w:rPr>
            </w:pPr>
            <w:r w:rsidRPr="00FA35BA">
              <w:rPr>
                <w:color w:val="000000"/>
                <w:sz w:val="20"/>
                <w:szCs w:val="20"/>
                <w:lang w:eastAsia="es-ES"/>
              </w:rPr>
              <w:t>Medidas de mejora. Definición de los conjuntos de mejora de la eficiencia energética.</w:t>
            </w: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2608" w:type="pct"/>
            <w:gridSpan w:val="4"/>
            <w:tcBorders>
              <w:top w:val="nil"/>
              <w:left w:val="nil"/>
              <w:bottom w:val="nil"/>
              <w:right w:val="nil"/>
            </w:tcBorders>
            <w:noWrap/>
            <w:vAlign w:val="center"/>
          </w:tcPr>
          <w:p w:rsidR="002F43BA" w:rsidRPr="00FA35BA" w:rsidRDefault="002F43BA" w:rsidP="00FA35BA">
            <w:pPr>
              <w:rPr>
                <w:color w:val="000000"/>
                <w:sz w:val="20"/>
                <w:szCs w:val="20"/>
                <w:lang w:eastAsia="es-ES"/>
              </w:rPr>
            </w:pPr>
            <w:r w:rsidRPr="00FA35BA">
              <w:rPr>
                <w:color w:val="000000"/>
                <w:sz w:val="20"/>
                <w:szCs w:val="20"/>
                <w:lang w:eastAsia="es-ES"/>
              </w:rPr>
              <w:t>Análisis económico de las medidas de mejora.</w:t>
            </w:r>
          </w:p>
        </w:tc>
        <w:tc>
          <w:tcPr>
            <w:tcW w:w="627" w:type="pct"/>
            <w:tcBorders>
              <w:top w:val="nil"/>
              <w:left w:val="nil"/>
              <w:bottom w:val="nil"/>
              <w:right w:val="nil"/>
            </w:tcBorders>
            <w:noWrap/>
            <w:vAlign w:val="bottom"/>
          </w:tcPr>
          <w:p w:rsidR="002F43BA" w:rsidRPr="00FA35BA" w:rsidRDefault="002F43BA" w:rsidP="00FA35BA">
            <w:pPr>
              <w:rPr>
                <w:color w:val="000000"/>
                <w:lang w:eastAsia="es-ES"/>
              </w:rPr>
            </w:pPr>
          </w:p>
        </w:tc>
        <w:tc>
          <w:tcPr>
            <w:tcW w:w="629" w:type="pct"/>
            <w:tcBorders>
              <w:top w:val="nil"/>
              <w:left w:val="nil"/>
              <w:bottom w:val="nil"/>
              <w:right w:val="nil"/>
            </w:tcBorders>
            <w:noWrap/>
            <w:vAlign w:val="bottom"/>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3865" w:type="pct"/>
            <w:gridSpan w:val="6"/>
            <w:tcBorders>
              <w:top w:val="nil"/>
              <w:left w:val="nil"/>
              <w:bottom w:val="nil"/>
              <w:right w:val="nil"/>
            </w:tcBorders>
            <w:noWrap/>
            <w:vAlign w:val="center"/>
          </w:tcPr>
          <w:p w:rsidR="002F43BA" w:rsidRPr="00FA35BA" w:rsidRDefault="002F43BA" w:rsidP="00FA35BA">
            <w:pPr>
              <w:rPr>
                <w:color w:val="000000"/>
                <w:sz w:val="20"/>
                <w:szCs w:val="20"/>
                <w:lang w:eastAsia="es-ES"/>
              </w:rPr>
            </w:pPr>
            <w:r w:rsidRPr="00FA35BA">
              <w:rPr>
                <w:color w:val="000000"/>
                <w:sz w:val="20"/>
                <w:szCs w:val="20"/>
                <w:lang w:eastAsia="es-ES"/>
              </w:rPr>
              <w:t>Obtención de la etiqueta, interpretación de resultados y documentación justificativa</w:t>
            </w:r>
          </w:p>
        </w:tc>
      </w:tr>
      <w:tr w:rsidR="002F43BA" w:rsidRPr="004C4DC3">
        <w:trPr>
          <w:gridBefore w:val="1"/>
          <w:wBefore w:w="751" w:type="pct"/>
          <w:trHeight w:val="300"/>
        </w:trPr>
        <w:tc>
          <w:tcPr>
            <w:tcW w:w="3620" w:type="pct"/>
            <w:gridSpan w:val="6"/>
            <w:tcBorders>
              <w:top w:val="nil"/>
              <w:left w:val="nil"/>
              <w:bottom w:val="nil"/>
              <w:right w:val="nil"/>
            </w:tcBorders>
            <w:noWrap/>
            <w:vAlign w:val="center"/>
          </w:tcPr>
          <w:p w:rsidR="002F43BA" w:rsidRPr="00FA35BA" w:rsidRDefault="002F43BA" w:rsidP="00FA35BA">
            <w:pPr>
              <w:rPr>
                <w:color w:val="000000"/>
                <w:lang w:eastAsia="es-ES"/>
              </w:rPr>
            </w:pPr>
            <w:r w:rsidRPr="00FA35BA">
              <w:rPr>
                <w:color w:val="000000"/>
                <w:lang w:eastAsia="es-ES"/>
              </w:rPr>
              <w:t>Caso práctico  PMT</w:t>
            </w: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r>
      <w:tr w:rsidR="002F43BA" w:rsidRPr="004C4DC3">
        <w:trPr>
          <w:trHeight w:val="300"/>
        </w:trPr>
        <w:tc>
          <w:tcPr>
            <w:tcW w:w="5000" w:type="pct"/>
            <w:gridSpan w:val="8"/>
            <w:tcBorders>
              <w:top w:val="nil"/>
              <w:left w:val="nil"/>
              <w:bottom w:val="nil"/>
              <w:right w:val="nil"/>
            </w:tcBorders>
            <w:shd w:val="clear" w:color="000000" w:fill="FFFFFF"/>
            <w:noWrap/>
            <w:vAlign w:val="center"/>
          </w:tcPr>
          <w:p w:rsidR="002F43BA" w:rsidRPr="00FA35BA" w:rsidRDefault="002F43BA" w:rsidP="00FA35BA">
            <w:pPr>
              <w:jc w:val="center"/>
              <w:rPr>
                <w:color w:val="000000"/>
                <w:lang w:eastAsia="es-ES"/>
              </w:rPr>
            </w:pPr>
            <w:r w:rsidRPr="00FA35BA">
              <w:rPr>
                <w:color w:val="000000"/>
                <w:lang w:eastAsia="es-ES"/>
              </w:rPr>
              <w:t> </w:t>
            </w:r>
          </w:p>
        </w:tc>
      </w:tr>
      <w:tr w:rsidR="002F43BA" w:rsidRPr="004C4DC3">
        <w:trPr>
          <w:trHeight w:val="300"/>
        </w:trPr>
        <w:tc>
          <w:tcPr>
            <w:tcW w:w="2459" w:type="pct"/>
            <w:gridSpan w:val="4"/>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Procedimiento Gran Terciario</w:t>
            </w:r>
          </w:p>
        </w:tc>
        <w:tc>
          <w:tcPr>
            <w:tcW w:w="656" w:type="pct"/>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 </w:t>
            </w:r>
          </w:p>
        </w:tc>
        <w:tc>
          <w:tcPr>
            <w:tcW w:w="629" w:type="pct"/>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 </w:t>
            </w:r>
          </w:p>
        </w:tc>
        <w:tc>
          <w:tcPr>
            <w:tcW w:w="1257" w:type="pct"/>
            <w:gridSpan w:val="2"/>
            <w:tcBorders>
              <w:top w:val="nil"/>
              <w:left w:val="nil"/>
              <w:bottom w:val="nil"/>
              <w:right w:val="nil"/>
            </w:tcBorders>
            <w:shd w:val="clear" w:color="000000" w:fill="BFBFBF"/>
            <w:noWrap/>
            <w:vAlign w:val="center"/>
          </w:tcPr>
          <w:p w:rsidR="002F43BA" w:rsidRPr="00FA35BA" w:rsidRDefault="002F43BA" w:rsidP="00FA35BA">
            <w:pPr>
              <w:rPr>
                <w:color w:val="000000"/>
                <w:lang w:eastAsia="es-ES"/>
              </w:rPr>
            </w:pPr>
            <w:r w:rsidRPr="00FA35BA">
              <w:rPr>
                <w:color w:val="000000"/>
                <w:lang w:eastAsia="es-ES"/>
              </w:rPr>
              <w:t> </w:t>
            </w:r>
          </w:p>
        </w:tc>
      </w:tr>
      <w:tr w:rsidR="002F43BA" w:rsidRPr="004C4DC3">
        <w:trPr>
          <w:gridBefore w:val="1"/>
          <w:wBefore w:w="751" w:type="pct"/>
          <w:trHeight w:val="300"/>
        </w:trPr>
        <w:tc>
          <w:tcPr>
            <w:tcW w:w="1708" w:type="pct"/>
            <w:gridSpan w:val="3"/>
            <w:tcBorders>
              <w:top w:val="nil"/>
              <w:left w:val="nil"/>
              <w:bottom w:val="nil"/>
              <w:right w:val="nil"/>
            </w:tcBorders>
            <w:noWrap/>
            <w:vAlign w:val="center"/>
          </w:tcPr>
          <w:p w:rsidR="002F43BA" w:rsidRPr="00FA35BA" w:rsidRDefault="002F43BA" w:rsidP="00FA35BA">
            <w:pPr>
              <w:rPr>
                <w:color w:val="000000"/>
                <w:lang w:eastAsia="es-ES"/>
              </w:rPr>
            </w:pPr>
            <w:r w:rsidRPr="00FA35BA">
              <w:rPr>
                <w:color w:val="000000"/>
                <w:lang w:eastAsia="es-ES"/>
              </w:rPr>
              <w:t>Manejo y características  GT</w:t>
            </w:r>
          </w:p>
        </w:tc>
        <w:tc>
          <w:tcPr>
            <w:tcW w:w="656" w:type="pct"/>
            <w:tcBorders>
              <w:top w:val="nil"/>
              <w:left w:val="nil"/>
              <w:bottom w:val="nil"/>
              <w:right w:val="nil"/>
            </w:tcBorders>
            <w:noWrap/>
            <w:vAlign w:val="center"/>
          </w:tcPr>
          <w:p w:rsidR="002F43BA" w:rsidRPr="00FA35BA" w:rsidRDefault="002F43BA" w:rsidP="00FA35BA">
            <w:pPr>
              <w:rPr>
                <w:color w:val="000000"/>
                <w:lang w:eastAsia="es-ES"/>
              </w:rPr>
            </w:pP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c>
          <w:tcPr>
            <w:tcW w:w="627" w:type="pct"/>
            <w:tcBorders>
              <w:top w:val="nil"/>
              <w:left w:val="nil"/>
              <w:bottom w:val="nil"/>
              <w:right w:val="nil"/>
            </w:tcBorders>
            <w:noWrap/>
            <w:vAlign w:val="center"/>
          </w:tcPr>
          <w:p w:rsidR="002F43BA" w:rsidRPr="00FA35BA" w:rsidRDefault="002F43BA" w:rsidP="00FA35BA">
            <w:pPr>
              <w:rPr>
                <w:color w:val="000000"/>
                <w:lang w:eastAsia="es-ES"/>
              </w:rPr>
            </w:pP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2608" w:type="pct"/>
            <w:gridSpan w:val="4"/>
            <w:tcBorders>
              <w:top w:val="nil"/>
              <w:left w:val="nil"/>
              <w:bottom w:val="nil"/>
              <w:right w:val="nil"/>
            </w:tcBorders>
            <w:noWrap/>
            <w:vAlign w:val="center"/>
          </w:tcPr>
          <w:p w:rsidR="002F43BA" w:rsidRPr="00FA35BA" w:rsidRDefault="002F43BA" w:rsidP="00FA35BA">
            <w:pPr>
              <w:rPr>
                <w:color w:val="000000"/>
                <w:sz w:val="20"/>
                <w:szCs w:val="20"/>
                <w:lang w:eastAsia="es-ES"/>
              </w:rPr>
            </w:pPr>
            <w:r w:rsidRPr="00FA35BA">
              <w:rPr>
                <w:color w:val="000000"/>
                <w:sz w:val="20"/>
                <w:szCs w:val="20"/>
                <w:lang w:eastAsia="es-ES"/>
              </w:rPr>
              <w:t>Definición de las instalaciones de gran terciario</w:t>
            </w:r>
          </w:p>
        </w:tc>
        <w:tc>
          <w:tcPr>
            <w:tcW w:w="627" w:type="pct"/>
            <w:tcBorders>
              <w:top w:val="nil"/>
              <w:left w:val="nil"/>
              <w:bottom w:val="nil"/>
              <w:right w:val="nil"/>
            </w:tcBorders>
            <w:noWrap/>
            <w:vAlign w:val="bottom"/>
          </w:tcPr>
          <w:p w:rsidR="002F43BA" w:rsidRPr="00FA35BA" w:rsidRDefault="002F43BA" w:rsidP="00FA35BA">
            <w:pPr>
              <w:rPr>
                <w:color w:val="000000"/>
                <w:lang w:eastAsia="es-ES"/>
              </w:rPr>
            </w:pPr>
          </w:p>
        </w:tc>
        <w:tc>
          <w:tcPr>
            <w:tcW w:w="629" w:type="pct"/>
            <w:tcBorders>
              <w:top w:val="nil"/>
              <w:left w:val="nil"/>
              <w:bottom w:val="nil"/>
              <w:right w:val="nil"/>
            </w:tcBorders>
            <w:noWrap/>
            <w:vAlign w:val="bottom"/>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3865" w:type="pct"/>
            <w:gridSpan w:val="6"/>
            <w:tcBorders>
              <w:top w:val="nil"/>
              <w:left w:val="nil"/>
              <w:bottom w:val="nil"/>
              <w:right w:val="nil"/>
            </w:tcBorders>
            <w:noWrap/>
            <w:vAlign w:val="center"/>
          </w:tcPr>
          <w:p w:rsidR="002F43BA" w:rsidRPr="00FA35BA" w:rsidRDefault="002F43BA" w:rsidP="00FA35BA">
            <w:pPr>
              <w:rPr>
                <w:color w:val="000000"/>
                <w:sz w:val="20"/>
                <w:szCs w:val="20"/>
                <w:lang w:eastAsia="es-ES"/>
              </w:rPr>
            </w:pPr>
            <w:r w:rsidRPr="00FA35BA">
              <w:rPr>
                <w:color w:val="000000"/>
                <w:sz w:val="20"/>
                <w:szCs w:val="20"/>
                <w:lang w:eastAsia="es-ES"/>
              </w:rPr>
              <w:t>Medidas de mejora. Definición de los conjuntos de mejora de la eficiencia energética.</w:t>
            </w: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2608" w:type="pct"/>
            <w:gridSpan w:val="4"/>
            <w:tcBorders>
              <w:top w:val="nil"/>
              <w:left w:val="nil"/>
              <w:bottom w:val="nil"/>
              <w:right w:val="nil"/>
            </w:tcBorders>
            <w:noWrap/>
            <w:vAlign w:val="center"/>
          </w:tcPr>
          <w:p w:rsidR="002F43BA" w:rsidRPr="00FA35BA" w:rsidRDefault="002F43BA" w:rsidP="00FA35BA">
            <w:pPr>
              <w:rPr>
                <w:color w:val="000000"/>
                <w:sz w:val="20"/>
                <w:szCs w:val="20"/>
                <w:lang w:eastAsia="es-ES"/>
              </w:rPr>
            </w:pPr>
            <w:r w:rsidRPr="00FA35BA">
              <w:rPr>
                <w:color w:val="000000"/>
                <w:sz w:val="20"/>
                <w:szCs w:val="20"/>
                <w:lang w:eastAsia="es-ES"/>
              </w:rPr>
              <w:t>Análisis económico de las medidas de mejora.</w:t>
            </w:r>
          </w:p>
        </w:tc>
        <w:tc>
          <w:tcPr>
            <w:tcW w:w="627" w:type="pct"/>
            <w:tcBorders>
              <w:top w:val="nil"/>
              <w:left w:val="nil"/>
              <w:bottom w:val="nil"/>
              <w:right w:val="nil"/>
            </w:tcBorders>
            <w:noWrap/>
            <w:vAlign w:val="bottom"/>
          </w:tcPr>
          <w:p w:rsidR="002F43BA" w:rsidRPr="00FA35BA" w:rsidRDefault="002F43BA" w:rsidP="00FA35BA">
            <w:pPr>
              <w:rPr>
                <w:color w:val="000000"/>
                <w:lang w:eastAsia="es-ES"/>
              </w:rPr>
            </w:pPr>
          </w:p>
        </w:tc>
        <w:tc>
          <w:tcPr>
            <w:tcW w:w="629" w:type="pct"/>
            <w:tcBorders>
              <w:top w:val="nil"/>
              <w:left w:val="nil"/>
              <w:bottom w:val="nil"/>
              <w:right w:val="nil"/>
            </w:tcBorders>
            <w:noWrap/>
            <w:vAlign w:val="bottom"/>
          </w:tcPr>
          <w:p w:rsidR="002F43BA" w:rsidRPr="00FA35BA" w:rsidRDefault="002F43BA" w:rsidP="00FA35BA">
            <w:pPr>
              <w:rPr>
                <w:color w:val="000000"/>
                <w:lang w:eastAsia="es-ES"/>
              </w:rPr>
            </w:pPr>
          </w:p>
        </w:tc>
      </w:tr>
      <w:tr w:rsidR="002F43BA" w:rsidRPr="004C4DC3">
        <w:trPr>
          <w:trHeight w:val="300"/>
        </w:trPr>
        <w:tc>
          <w:tcPr>
            <w:tcW w:w="751" w:type="pct"/>
            <w:tcBorders>
              <w:top w:val="nil"/>
              <w:left w:val="nil"/>
              <w:bottom w:val="nil"/>
              <w:right w:val="nil"/>
            </w:tcBorders>
            <w:noWrap/>
            <w:vAlign w:val="bottom"/>
          </w:tcPr>
          <w:p w:rsidR="002F43BA" w:rsidRPr="00FA35BA" w:rsidRDefault="002F43BA" w:rsidP="00FA35BA">
            <w:pPr>
              <w:rPr>
                <w:color w:val="000000"/>
                <w:lang w:eastAsia="es-ES"/>
              </w:rPr>
            </w:pPr>
          </w:p>
        </w:tc>
        <w:tc>
          <w:tcPr>
            <w:tcW w:w="385" w:type="pct"/>
            <w:tcBorders>
              <w:top w:val="nil"/>
              <w:left w:val="nil"/>
              <w:bottom w:val="nil"/>
              <w:right w:val="nil"/>
            </w:tcBorders>
            <w:noWrap/>
            <w:vAlign w:val="bottom"/>
          </w:tcPr>
          <w:p w:rsidR="002F43BA" w:rsidRPr="00FA35BA" w:rsidRDefault="002F43BA" w:rsidP="00FA35BA">
            <w:pPr>
              <w:rPr>
                <w:color w:val="000000"/>
                <w:lang w:eastAsia="es-ES"/>
              </w:rPr>
            </w:pPr>
          </w:p>
        </w:tc>
        <w:tc>
          <w:tcPr>
            <w:tcW w:w="3865" w:type="pct"/>
            <w:gridSpan w:val="6"/>
            <w:tcBorders>
              <w:top w:val="nil"/>
              <w:left w:val="nil"/>
              <w:bottom w:val="nil"/>
              <w:right w:val="nil"/>
            </w:tcBorders>
            <w:noWrap/>
            <w:vAlign w:val="center"/>
          </w:tcPr>
          <w:p w:rsidR="002F43BA" w:rsidRPr="00FA35BA" w:rsidRDefault="002F43BA" w:rsidP="00FA35BA">
            <w:pPr>
              <w:rPr>
                <w:color w:val="000000"/>
                <w:sz w:val="20"/>
                <w:szCs w:val="20"/>
                <w:lang w:eastAsia="es-ES"/>
              </w:rPr>
            </w:pPr>
            <w:r w:rsidRPr="00FA35BA">
              <w:rPr>
                <w:color w:val="000000"/>
                <w:sz w:val="20"/>
                <w:szCs w:val="20"/>
                <w:lang w:eastAsia="es-ES"/>
              </w:rPr>
              <w:t xml:space="preserve"> Obtención de la etiqueta, interpretación de resultados y documentación justificativa</w:t>
            </w:r>
          </w:p>
        </w:tc>
      </w:tr>
      <w:tr w:rsidR="002F43BA" w:rsidRPr="004C4DC3">
        <w:trPr>
          <w:gridBefore w:val="1"/>
          <w:wBefore w:w="751" w:type="pct"/>
          <w:trHeight w:val="300"/>
        </w:trPr>
        <w:tc>
          <w:tcPr>
            <w:tcW w:w="3620" w:type="pct"/>
            <w:gridSpan w:val="6"/>
            <w:tcBorders>
              <w:top w:val="nil"/>
              <w:left w:val="nil"/>
              <w:bottom w:val="nil"/>
              <w:right w:val="nil"/>
            </w:tcBorders>
            <w:noWrap/>
            <w:vAlign w:val="center"/>
          </w:tcPr>
          <w:p w:rsidR="002F43BA" w:rsidRPr="00FA35BA" w:rsidRDefault="002F43BA" w:rsidP="00FA35BA">
            <w:pPr>
              <w:rPr>
                <w:color w:val="000000"/>
                <w:lang w:eastAsia="es-ES"/>
              </w:rPr>
            </w:pPr>
            <w:r w:rsidRPr="00FA35BA">
              <w:rPr>
                <w:color w:val="000000"/>
                <w:lang w:eastAsia="es-ES"/>
              </w:rPr>
              <w:t>Caso práctico  GT</w:t>
            </w:r>
          </w:p>
        </w:tc>
        <w:tc>
          <w:tcPr>
            <w:tcW w:w="629" w:type="pct"/>
            <w:tcBorders>
              <w:top w:val="nil"/>
              <w:left w:val="nil"/>
              <w:bottom w:val="nil"/>
              <w:right w:val="nil"/>
            </w:tcBorders>
            <w:noWrap/>
            <w:vAlign w:val="center"/>
          </w:tcPr>
          <w:p w:rsidR="002F43BA" w:rsidRPr="00FA35BA" w:rsidRDefault="002F43BA" w:rsidP="00FA35BA">
            <w:pPr>
              <w:rPr>
                <w:color w:val="000000"/>
                <w:lang w:eastAsia="es-ES"/>
              </w:rPr>
            </w:pPr>
          </w:p>
        </w:tc>
      </w:tr>
    </w:tbl>
    <w:p w:rsidR="002F43BA" w:rsidRDefault="002F43BA" w:rsidP="000264C0">
      <w:pPr>
        <w:jc w:val="both"/>
        <w:rPr>
          <w:rFonts w:ascii="DIN Next LT Pro" w:hAnsi="DIN Next LT Pro" w:cs="DIN Next LT Pro"/>
          <w:lang w:val="es-ES_tradnl"/>
        </w:rPr>
      </w:pPr>
    </w:p>
    <w:p w:rsidR="002F43BA" w:rsidRDefault="002F43BA" w:rsidP="000264C0">
      <w:pPr>
        <w:jc w:val="both"/>
        <w:rPr>
          <w:rFonts w:ascii="DIN Next LT Pro" w:hAnsi="DIN Next LT Pro" w:cs="DIN Next LT Pro"/>
          <w:lang w:val="es-ES_tradnl"/>
        </w:rPr>
      </w:pPr>
    </w:p>
    <w:p w:rsidR="002F43BA" w:rsidRDefault="002F43BA" w:rsidP="000264C0">
      <w:pPr>
        <w:jc w:val="both"/>
        <w:rPr>
          <w:rFonts w:ascii="DIN Next LT Pro" w:hAnsi="DIN Next LT Pro" w:cs="DIN Next LT Pro"/>
          <w:lang w:val="es-ES_tradnl"/>
        </w:rPr>
      </w:pPr>
    </w:p>
    <w:p w:rsidR="002F43BA" w:rsidRPr="003705FF" w:rsidRDefault="002F43BA" w:rsidP="00342AAB">
      <w:pPr>
        <w:pBdr>
          <w:bottom w:val="single" w:sz="4" w:space="1" w:color="auto"/>
        </w:pBdr>
        <w:jc w:val="both"/>
        <w:rPr>
          <w:rFonts w:ascii="DIN Next LT Pro" w:hAnsi="DIN Next LT Pro" w:cs="DIN Next LT Pro"/>
          <w:b/>
          <w:bCs/>
        </w:rPr>
      </w:pPr>
      <w:r>
        <w:rPr>
          <w:rFonts w:ascii="DIN Next LT Pro" w:hAnsi="DIN Next LT Pro" w:cs="DIN Next LT Pro"/>
          <w:b/>
          <w:bCs/>
        </w:rPr>
        <w:t>Impartido por</w:t>
      </w:r>
    </w:p>
    <w:p w:rsidR="002F43BA" w:rsidRPr="003705FF" w:rsidRDefault="002F43BA" w:rsidP="00342AAB">
      <w:pPr>
        <w:jc w:val="both"/>
        <w:rPr>
          <w:rFonts w:ascii="DIN Next LT Pro" w:hAnsi="DIN Next LT Pro" w:cs="DIN Next LT Pro"/>
          <w:lang w:val="es-ES_tradnl"/>
        </w:rPr>
      </w:pPr>
    </w:p>
    <w:p w:rsidR="002F43BA" w:rsidRPr="003705FF" w:rsidRDefault="002F43BA" w:rsidP="00342AAB">
      <w:pPr>
        <w:jc w:val="both"/>
        <w:rPr>
          <w:rFonts w:ascii="DIN Next LT Pro" w:hAnsi="DIN Next LT Pro" w:cs="DIN Next LT Pro"/>
          <w:lang w:val="es-ES_tradnl"/>
        </w:rPr>
      </w:pPr>
      <w:r>
        <w:rPr>
          <w:rFonts w:ascii="DIN Next LT Pro" w:hAnsi="DIN Next LT Pro" w:cs="DIN Next LT Pro"/>
          <w:lang w:val="es-ES_tradnl"/>
        </w:rPr>
        <w:t>Equipo desarrollador del programa ____ (CE3/CE3X)</w:t>
      </w:r>
    </w:p>
    <w:p w:rsidR="002F43BA" w:rsidRPr="003705FF" w:rsidRDefault="002F43BA" w:rsidP="00342AAB">
      <w:pPr>
        <w:jc w:val="both"/>
        <w:rPr>
          <w:rFonts w:ascii="DIN Next LT Pro" w:hAnsi="DIN Next LT Pro" w:cs="DIN Next LT Pro"/>
        </w:rPr>
      </w:pPr>
    </w:p>
    <w:p w:rsidR="002F43BA" w:rsidRPr="003705FF" w:rsidRDefault="002F43BA" w:rsidP="000264C0">
      <w:pPr>
        <w:jc w:val="both"/>
        <w:rPr>
          <w:rFonts w:ascii="DIN Next LT Pro" w:hAnsi="DIN Next LT Pro" w:cs="DIN Next LT Pro"/>
          <w:lang w:val="es-ES_tradnl"/>
        </w:rPr>
      </w:pPr>
    </w:p>
    <w:p w:rsidR="002F43BA" w:rsidRPr="003705FF" w:rsidRDefault="002F43BA" w:rsidP="003705FF">
      <w:pPr>
        <w:pBdr>
          <w:bottom w:val="single" w:sz="4" w:space="1" w:color="auto"/>
        </w:pBdr>
        <w:jc w:val="both"/>
        <w:rPr>
          <w:rFonts w:ascii="DIN Next LT Pro" w:hAnsi="DIN Next LT Pro" w:cs="DIN Next LT Pro"/>
          <w:b/>
          <w:bCs/>
        </w:rPr>
      </w:pPr>
      <w:r w:rsidRPr="003705FF">
        <w:rPr>
          <w:rFonts w:ascii="DIN Next LT Pro" w:hAnsi="DIN Next LT Pro" w:cs="DIN Next LT Pro"/>
          <w:b/>
          <w:bCs/>
        </w:rPr>
        <w:t>Calendario de otros cursos del Plan de formación</w:t>
      </w:r>
    </w:p>
    <w:p w:rsidR="002F43BA" w:rsidRPr="003705FF" w:rsidRDefault="002F43BA" w:rsidP="003705FF">
      <w:pPr>
        <w:jc w:val="both"/>
        <w:rPr>
          <w:rFonts w:ascii="DIN Next LT Pro" w:hAnsi="DIN Next LT Pro" w:cs="DIN Next LT Pro"/>
        </w:rPr>
      </w:pPr>
    </w:p>
    <w:p w:rsidR="002F43BA" w:rsidRDefault="002F43BA" w:rsidP="003705FF">
      <w:pPr>
        <w:jc w:val="both"/>
        <w:rPr>
          <w:rFonts w:ascii="DIN Next LT Pro" w:hAnsi="DIN Next LT Pro" w:cs="DIN Next LT Pro"/>
        </w:rPr>
      </w:pPr>
      <w:r w:rsidRPr="003705FF">
        <w:rPr>
          <w:rFonts w:ascii="DIN Next LT Pro" w:hAnsi="DIN Next LT Pro" w:cs="DIN Next LT Pro"/>
        </w:rPr>
        <w:t xml:space="preserve">Puede consultar la realización del resto de cursos de este Plan de formación en la web del </w:t>
      </w:r>
      <w:r>
        <w:rPr>
          <w:rFonts w:ascii="DIN Next LT Pro" w:hAnsi="DIN Next LT Pro" w:cs="DIN Next LT Pro"/>
        </w:rPr>
        <w:t>IDEA</w:t>
      </w:r>
    </w:p>
    <w:p w:rsidR="002F43BA" w:rsidRPr="003705FF" w:rsidRDefault="002F43BA" w:rsidP="003705FF">
      <w:pPr>
        <w:jc w:val="both"/>
        <w:rPr>
          <w:rFonts w:ascii="DIN Next LT Pro" w:hAnsi="DIN Next LT Pro" w:cs="DIN Next LT Pro"/>
        </w:rPr>
      </w:pPr>
    </w:p>
    <w:p w:rsidR="002F43BA" w:rsidRPr="003705FF" w:rsidRDefault="002F43BA" w:rsidP="000264C0">
      <w:pPr>
        <w:jc w:val="both"/>
        <w:rPr>
          <w:rFonts w:ascii="DIN Next LT Pro" w:hAnsi="DIN Next LT Pro" w:cs="DIN Next LT Pro"/>
        </w:rPr>
      </w:pPr>
      <w:hyperlink r:id="rId7" w:history="1">
        <w:r w:rsidRPr="00FA35BA">
          <w:rPr>
            <w:color w:val="0000FF"/>
            <w:u w:val="single"/>
          </w:rPr>
          <w:t>http://www.idae.es/index.php/relcategoria.1030/id.719/relmenu.344/mod.pags/mem.detalle</w:t>
        </w:r>
      </w:hyperlink>
    </w:p>
    <w:p w:rsidR="002F43BA" w:rsidRPr="003705FF" w:rsidRDefault="002F43BA" w:rsidP="000264C0">
      <w:pPr>
        <w:jc w:val="both"/>
        <w:rPr>
          <w:rFonts w:ascii="DIN Next LT Pro" w:hAnsi="DIN Next LT Pro" w:cs="DIN Next LT Pro"/>
          <w:lang w:val="es-ES_tradnl"/>
        </w:rPr>
      </w:pPr>
    </w:p>
    <w:p w:rsidR="002F43BA" w:rsidRPr="003705FF" w:rsidRDefault="002F43BA" w:rsidP="003705FF">
      <w:pPr>
        <w:jc w:val="both"/>
        <w:rPr>
          <w:rFonts w:ascii="DIN Next LT Pro" w:hAnsi="DIN Next LT Pro" w:cs="DIN Next LT Pro"/>
          <w:b/>
          <w:bCs/>
        </w:rPr>
      </w:pPr>
    </w:p>
    <w:p w:rsidR="002F43BA" w:rsidRPr="003705FF" w:rsidRDefault="002F43BA" w:rsidP="003705FF">
      <w:pPr>
        <w:pBdr>
          <w:bottom w:val="single" w:sz="4" w:space="1" w:color="auto"/>
        </w:pBdr>
        <w:jc w:val="both"/>
        <w:rPr>
          <w:rFonts w:ascii="DIN Next LT Pro" w:hAnsi="DIN Next LT Pro" w:cs="DIN Next LT Pro"/>
          <w:b/>
          <w:bCs/>
        </w:rPr>
      </w:pPr>
      <w:r w:rsidRPr="003705FF">
        <w:rPr>
          <w:rFonts w:ascii="DIN Next LT Pro" w:hAnsi="DIN Next LT Pro" w:cs="DIN Next LT Pro"/>
          <w:b/>
          <w:bCs/>
        </w:rPr>
        <w:t>Organización del curso</w:t>
      </w:r>
    </w:p>
    <w:p w:rsidR="002F43BA" w:rsidRPr="003705FF" w:rsidRDefault="002F43BA" w:rsidP="003705FF">
      <w:pPr>
        <w:jc w:val="both"/>
        <w:rPr>
          <w:rFonts w:ascii="DIN Next LT Pro" w:hAnsi="DIN Next LT Pro" w:cs="DIN Next LT Pro"/>
        </w:rPr>
      </w:pPr>
    </w:p>
    <w:p w:rsidR="002F43BA" w:rsidRPr="003705FF" w:rsidRDefault="002F43BA" w:rsidP="003705FF">
      <w:pPr>
        <w:jc w:val="both"/>
        <w:rPr>
          <w:rFonts w:ascii="DIN Next LT Pro" w:hAnsi="DIN Next LT Pro" w:cs="DIN Next LT Pro"/>
        </w:rPr>
      </w:pPr>
      <w:r w:rsidRPr="003705FF">
        <w:rPr>
          <w:rFonts w:ascii="DIN Next LT Pro" w:hAnsi="DIN Next LT Pro" w:cs="DIN Next LT Pro"/>
        </w:rPr>
        <w:t>Este curso está organizado por:</w:t>
      </w:r>
    </w:p>
    <w:p w:rsidR="002F43BA" w:rsidRPr="003705FF" w:rsidRDefault="002F43BA" w:rsidP="003705FF">
      <w:pPr>
        <w:jc w:val="both"/>
        <w:rPr>
          <w:rFonts w:ascii="DIN Next LT Pro" w:hAnsi="DIN Next LT Pro" w:cs="DIN Next LT Pro"/>
        </w:rPr>
      </w:pPr>
    </w:p>
    <w:p w:rsidR="002F43BA" w:rsidRPr="003705FF" w:rsidRDefault="002F43BA" w:rsidP="003705FF">
      <w:pPr>
        <w:numPr>
          <w:ilvl w:val="0"/>
          <w:numId w:val="1"/>
        </w:numPr>
        <w:ind w:left="360"/>
        <w:jc w:val="both"/>
        <w:rPr>
          <w:rFonts w:ascii="DIN Next LT Pro" w:hAnsi="DIN Next LT Pro" w:cs="DIN Next LT Pro"/>
        </w:rPr>
      </w:pPr>
      <w:r w:rsidRPr="003705FF">
        <w:rPr>
          <w:rFonts w:ascii="DIN Next LT Pro" w:hAnsi="DIN Next LT Pro" w:cs="DIN Next LT Pro"/>
        </w:rPr>
        <w:t>El Instituto para la Diversificación y Ahorro de la Energía (IDAE) que asume el coste de impartición y desplazamiento de los ponentes</w:t>
      </w:r>
    </w:p>
    <w:p w:rsidR="002F43BA" w:rsidRPr="003705FF" w:rsidRDefault="002F43BA" w:rsidP="003705FF">
      <w:pPr>
        <w:ind w:left="360"/>
        <w:jc w:val="both"/>
        <w:rPr>
          <w:rFonts w:ascii="DIN Next LT Pro" w:hAnsi="DIN Next LT Pro" w:cs="DIN Next LT Pro"/>
        </w:rPr>
      </w:pPr>
    </w:p>
    <w:p w:rsidR="002F43BA" w:rsidRPr="003705FF" w:rsidRDefault="002F43BA" w:rsidP="003705FF">
      <w:pPr>
        <w:numPr>
          <w:ilvl w:val="0"/>
          <w:numId w:val="1"/>
        </w:numPr>
        <w:ind w:left="360"/>
        <w:jc w:val="both"/>
        <w:rPr>
          <w:rFonts w:ascii="DIN Next LT Pro" w:hAnsi="DIN Next LT Pro" w:cs="DIN Next LT Pro"/>
        </w:rPr>
      </w:pPr>
      <w:r w:rsidRPr="003705FF">
        <w:rPr>
          <w:rFonts w:ascii="DIN Next LT Pro" w:hAnsi="DIN Next LT Pro" w:cs="DIN Next LT Pro"/>
        </w:rPr>
        <w:t>________________ (organización Agencia Regional/Consejo Profesional) a cuyo cargo está la convocatoria y organización de la jornada.</w:t>
      </w:r>
    </w:p>
    <w:p w:rsidR="002F43BA" w:rsidRPr="003705FF" w:rsidRDefault="002F43BA" w:rsidP="000264C0">
      <w:pPr>
        <w:rPr>
          <w:rFonts w:ascii="DIN Next LT Pro" w:hAnsi="DIN Next LT Pro" w:cs="DIN Next LT Pro"/>
        </w:rPr>
      </w:pPr>
    </w:p>
    <w:p w:rsidR="002F43BA" w:rsidRPr="003705FF" w:rsidRDefault="002F43BA" w:rsidP="000264C0">
      <w:pPr>
        <w:rPr>
          <w:rFonts w:ascii="DIN Next LT Pro" w:hAnsi="DIN Next LT Pro" w:cs="DIN Next LT Pro"/>
        </w:rPr>
      </w:pPr>
    </w:p>
    <w:p w:rsidR="002F43BA" w:rsidRDefault="002F43BA" w:rsidP="003705FF">
      <w:pPr>
        <w:jc w:val="center"/>
        <w:rPr>
          <w:rFonts w:ascii="DIN Next LT Pro" w:hAnsi="DIN Next LT Pro" w:cs="DIN Next LT Pro"/>
        </w:rPr>
      </w:pPr>
      <w:r w:rsidRPr="003705FF">
        <w:rPr>
          <w:rFonts w:ascii="DIN Next LT Pro" w:hAnsi="DIN Next LT Pro" w:cs="DIN Next LT Pro"/>
          <w:highlight w:val="yellow"/>
        </w:rPr>
        <w:t>(Poner logos de ambas instituciones)</w:t>
      </w:r>
    </w:p>
    <w:p w:rsidR="002F43BA" w:rsidRDefault="002F43BA" w:rsidP="003705FF">
      <w:pPr>
        <w:jc w:val="center"/>
        <w:rPr>
          <w:rFonts w:ascii="DIN Next LT Pro" w:hAnsi="DIN Next LT Pro" w:cs="DIN Next LT Pro"/>
        </w:rPr>
      </w:pPr>
    </w:p>
    <w:p w:rsidR="002F43BA" w:rsidRPr="003705FF" w:rsidRDefault="002F43BA" w:rsidP="003705FF">
      <w:pPr>
        <w:jc w:val="center"/>
        <w:rPr>
          <w:rFonts w:ascii="DIN Next LT Pro" w:hAnsi="DIN Next LT Pro" w:cs="DIN Next LT Pro"/>
        </w:rPr>
      </w:pPr>
      <w:r w:rsidRPr="004C4DC3">
        <w:rPr>
          <w:rFonts w:ascii="DIN Next LT Pro" w:hAnsi="DIN Next LT Pro" w:cs="DIN Next LT Pro"/>
          <w:noProof/>
          <w:lang w:eastAsia="es-ES"/>
        </w:rPr>
        <w:pict>
          <v:shape id="Imagen 2" o:spid="_x0000_i1026" type="#_x0000_t75" style="width:190.5pt;height:32.25pt;visibility:visible">
            <v:imagedata r:id="rId8" o:title=""/>
          </v:shape>
        </w:pict>
      </w:r>
    </w:p>
    <w:sectPr w:rsidR="002F43BA" w:rsidRPr="003705FF" w:rsidSect="00E6509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DIN Next LT Pro">
    <w:altName w:val="Agency F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B5E3E"/>
    <w:multiLevelType w:val="hybridMultilevel"/>
    <w:tmpl w:val="9BCE970A"/>
    <w:lvl w:ilvl="0" w:tplc="6EFC5ADA">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nsid w:val="38026C79"/>
    <w:multiLevelType w:val="hybridMultilevel"/>
    <w:tmpl w:val="5046F5B4"/>
    <w:lvl w:ilvl="0" w:tplc="040A0001">
      <w:start w:val="1"/>
      <w:numFmt w:val="bullet"/>
      <w:lvlText w:val=""/>
      <w:lvlJc w:val="left"/>
      <w:pPr>
        <w:ind w:left="1776" w:hanging="360"/>
      </w:pPr>
      <w:rPr>
        <w:rFonts w:ascii="Symbol" w:hAnsi="Symbol" w:cs="Symbol" w:hint="default"/>
      </w:rPr>
    </w:lvl>
    <w:lvl w:ilvl="1" w:tplc="040A0003">
      <w:start w:val="1"/>
      <w:numFmt w:val="bullet"/>
      <w:lvlText w:val="o"/>
      <w:lvlJc w:val="left"/>
      <w:pPr>
        <w:ind w:left="2496" w:hanging="360"/>
      </w:pPr>
      <w:rPr>
        <w:rFonts w:ascii="Courier New" w:hAnsi="Courier New" w:cs="Courier New" w:hint="default"/>
      </w:rPr>
    </w:lvl>
    <w:lvl w:ilvl="2" w:tplc="040A0005">
      <w:start w:val="1"/>
      <w:numFmt w:val="bullet"/>
      <w:lvlText w:val=""/>
      <w:lvlJc w:val="left"/>
      <w:pPr>
        <w:ind w:left="3216" w:hanging="360"/>
      </w:pPr>
      <w:rPr>
        <w:rFonts w:ascii="Wingdings" w:hAnsi="Wingdings" w:cs="Wingdings" w:hint="default"/>
      </w:rPr>
    </w:lvl>
    <w:lvl w:ilvl="3" w:tplc="040A0001">
      <w:start w:val="1"/>
      <w:numFmt w:val="bullet"/>
      <w:lvlText w:val=""/>
      <w:lvlJc w:val="left"/>
      <w:pPr>
        <w:ind w:left="3936" w:hanging="360"/>
      </w:pPr>
      <w:rPr>
        <w:rFonts w:ascii="Symbol" w:hAnsi="Symbol" w:cs="Symbol" w:hint="default"/>
      </w:rPr>
    </w:lvl>
    <w:lvl w:ilvl="4" w:tplc="040A0003">
      <w:start w:val="1"/>
      <w:numFmt w:val="bullet"/>
      <w:lvlText w:val="o"/>
      <w:lvlJc w:val="left"/>
      <w:pPr>
        <w:ind w:left="4656" w:hanging="360"/>
      </w:pPr>
      <w:rPr>
        <w:rFonts w:ascii="Courier New" w:hAnsi="Courier New" w:cs="Courier New" w:hint="default"/>
      </w:rPr>
    </w:lvl>
    <w:lvl w:ilvl="5" w:tplc="040A0005">
      <w:start w:val="1"/>
      <w:numFmt w:val="bullet"/>
      <w:lvlText w:val=""/>
      <w:lvlJc w:val="left"/>
      <w:pPr>
        <w:ind w:left="5376" w:hanging="360"/>
      </w:pPr>
      <w:rPr>
        <w:rFonts w:ascii="Wingdings" w:hAnsi="Wingdings" w:cs="Wingdings" w:hint="default"/>
      </w:rPr>
    </w:lvl>
    <w:lvl w:ilvl="6" w:tplc="040A0001">
      <w:start w:val="1"/>
      <w:numFmt w:val="bullet"/>
      <w:lvlText w:val=""/>
      <w:lvlJc w:val="left"/>
      <w:pPr>
        <w:ind w:left="6096" w:hanging="360"/>
      </w:pPr>
      <w:rPr>
        <w:rFonts w:ascii="Symbol" w:hAnsi="Symbol" w:cs="Symbol" w:hint="default"/>
      </w:rPr>
    </w:lvl>
    <w:lvl w:ilvl="7" w:tplc="040A0003">
      <w:start w:val="1"/>
      <w:numFmt w:val="bullet"/>
      <w:lvlText w:val="o"/>
      <w:lvlJc w:val="left"/>
      <w:pPr>
        <w:ind w:left="6816" w:hanging="360"/>
      </w:pPr>
      <w:rPr>
        <w:rFonts w:ascii="Courier New" w:hAnsi="Courier New" w:cs="Courier New" w:hint="default"/>
      </w:rPr>
    </w:lvl>
    <w:lvl w:ilvl="8" w:tplc="040A0005">
      <w:start w:val="1"/>
      <w:numFmt w:val="bullet"/>
      <w:lvlText w:val=""/>
      <w:lvlJc w:val="left"/>
      <w:pPr>
        <w:ind w:left="7536" w:hanging="360"/>
      </w:pPr>
      <w:rPr>
        <w:rFonts w:ascii="Wingdings" w:hAnsi="Wingdings" w:cs="Wingdings" w:hint="default"/>
      </w:rPr>
    </w:lvl>
  </w:abstractNum>
  <w:abstractNum w:abstractNumId="2">
    <w:nsid w:val="6DD544D6"/>
    <w:multiLevelType w:val="hybridMultilevel"/>
    <w:tmpl w:val="2D765562"/>
    <w:lvl w:ilvl="0" w:tplc="0C0A0001">
      <w:start w:val="1"/>
      <w:numFmt w:val="bullet"/>
      <w:lvlText w:val=""/>
      <w:lvlJc w:val="left"/>
      <w:pPr>
        <w:ind w:left="360" w:hanging="360"/>
      </w:pPr>
      <w:rPr>
        <w:rFonts w:ascii="Symbol" w:hAnsi="Symbol" w:cs="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3">
    <w:nsid w:val="7B8B4BCE"/>
    <w:multiLevelType w:val="hybridMultilevel"/>
    <w:tmpl w:val="BFAA9782"/>
    <w:lvl w:ilvl="0" w:tplc="0C0A0001">
      <w:start w:val="1"/>
      <w:numFmt w:val="bullet"/>
      <w:lvlText w:val=""/>
      <w:lvlJc w:val="left"/>
      <w:pPr>
        <w:ind w:left="360" w:hanging="360"/>
      </w:pPr>
      <w:rPr>
        <w:rFonts w:ascii="Symbol" w:hAnsi="Symbol" w:cs="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64C0"/>
    <w:rsid w:val="000264C0"/>
    <w:rsid w:val="002E2077"/>
    <w:rsid w:val="002F43BA"/>
    <w:rsid w:val="00342AAB"/>
    <w:rsid w:val="003705FF"/>
    <w:rsid w:val="004160EC"/>
    <w:rsid w:val="004C4DC3"/>
    <w:rsid w:val="00733934"/>
    <w:rsid w:val="008A43BB"/>
    <w:rsid w:val="00A0727A"/>
    <w:rsid w:val="00B92A7A"/>
    <w:rsid w:val="00DC77F0"/>
    <w:rsid w:val="00E65099"/>
    <w:rsid w:val="00E67924"/>
    <w:rsid w:val="00EC2068"/>
    <w:rsid w:val="00EE121C"/>
    <w:rsid w:val="00FA35BA"/>
    <w:rsid w:val="00FF4065"/>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C0"/>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F4065"/>
    <w:rPr>
      <w:color w:val="0000FF"/>
      <w:u w:val="single"/>
    </w:rPr>
  </w:style>
  <w:style w:type="paragraph" w:styleId="ListParagraph">
    <w:name w:val="List Paragraph"/>
    <w:basedOn w:val="Normal"/>
    <w:uiPriority w:val="99"/>
    <w:qFormat/>
    <w:rsid w:val="00FF4065"/>
    <w:pPr>
      <w:spacing w:after="200" w:line="276" w:lineRule="auto"/>
      <w:ind w:left="720"/>
    </w:pPr>
  </w:style>
  <w:style w:type="paragraph" w:styleId="NormalWeb">
    <w:name w:val="Normal (Web)"/>
    <w:basedOn w:val="Normal"/>
    <w:uiPriority w:val="99"/>
    <w:rsid w:val="00342AAB"/>
    <w:pPr>
      <w:spacing w:before="100" w:beforeAutospacing="1" w:after="100" w:afterAutospacing="1"/>
    </w:pPr>
    <w:rPr>
      <w:rFonts w:ascii="Times New Roman" w:eastAsia="Times New Roman" w:hAnsi="Times New Roman" w:cs="Times New Roman"/>
      <w:sz w:val="24"/>
      <w:szCs w:val="24"/>
      <w:lang w:eastAsia="es-ES"/>
    </w:rPr>
  </w:style>
  <w:style w:type="character" w:styleId="Strong">
    <w:name w:val="Strong"/>
    <w:basedOn w:val="DefaultParagraphFont"/>
    <w:uiPriority w:val="99"/>
    <w:qFormat/>
    <w:rsid w:val="00342AAB"/>
    <w:rPr>
      <w:b/>
      <w:bCs/>
    </w:rPr>
  </w:style>
  <w:style w:type="paragraph" w:styleId="BalloonText">
    <w:name w:val="Balloon Text"/>
    <w:basedOn w:val="Normal"/>
    <w:link w:val="BalloonTextChar"/>
    <w:uiPriority w:val="99"/>
    <w:semiHidden/>
    <w:rsid w:val="00FA35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5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7046737">
      <w:marLeft w:val="0"/>
      <w:marRight w:val="0"/>
      <w:marTop w:val="0"/>
      <w:marBottom w:val="0"/>
      <w:divBdr>
        <w:top w:val="none" w:sz="0" w:space="0" w:color="auto"/>
        <w:left w:val="none" w:sz="0" w:space="0" w:color="auto"/>
        <w:bottom w:val="none" w:sz="0" w:space="0" w:color="auto"/>
        <w:right w:val="none" w:sz="0" w:space="0" w:color="auto"/>
      </w:divBdr>
    </w:div>
    <w:div w:id="1807046738">
      <w:marLeft w:val="0"/>
      <w:marRight w:val="0"/>
      <w:marTop w:val="0"/>
      <w:marBottom w:val="0"/>
      <w:divBdr>
        <w:top w:val="none" w:sz="0" w:space="0" w:color="auto"/>
        <w:left w:val="none" w:sz="0" w:space="0" w:color="auto"/>
        <w:bottom w:val="none" w:sz="0" w:space="0" w:color="auto"/>
        <w:right w:val="none" w:sz="0" w:space="0" w:color="auto"/>
      </w:divBdr>
    </w:div>
    <w:div w:id="1807046739">
      <w:marLeft w:val="0"/>
      <w:marRight w:val="0"/>
      <w:marTop w:val="0"/>
      <w:marBottom w:val="0"/>
      <w:divBdr>
        <w:top w:val="none" w:sz="0" w:space="0" w:color="auto"/>
        <w:left w:val="none" w:sz="0" w:space="0" w:color="auto"/>
        <w:bottom w:val="none" w:sz="0" w:space="0" w:color="auto"/>
        <w:right w:val="none" w:sz="0" w:space="0" w:color="auto"/>
      </w:divBdr>
    </w:div>
    <w:div w:id="1807046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idae.es/index.php/relcategoria.1030/id.719/relmenu.344/mod.pags/mem.detal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tur.gob.es/energia/desarrollo/EficienciaEnergetica/CertificacionEnergetica/DocumentosReconocidos/Paginas/documentosreconocidos.aspx"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854</Words>
  <Characters>4698</Characters>
  <Application>Microsoft Office Outlook</Application>
  <DocSecurity>0</DocSecurity>
  <Lines>0</Lines>
  <Paragraphs>0</Paragraphs>
  <ScaleCrop>false</ScaleCrop>
  <Company>Dark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Pedro Antonio Prieto Gonzalez</dc:creator>
  <cp:keywords/>
  <dc:description/>
  <cp:lastModifiedBy>*</cp:lastModifiedBy>
  <cp:revision>2</cp:revision>
  <dcterms:created xsi:type="dcterms:W3CDTF">2013-01-10T12:05:00Z</dcterms:created>
  <dcterms:modified xsi:type="dcterms:W3CDTF">2013-01-10T12:05:00Z</dcterms:modified>
</cp:coreProperties>
</file>